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376"/>
        <w:gridCol w:w="11798"/>
      </w:tblGrid>
      <w:tr w:rsidR="00847C29" w:rsidTr="00847C29">
        <w:tc>
          <w:tcPr>
            <w:tcW w:w="2376" w:type="dxa"/>
          </w:tcPr>
          <w:p w:rsidR="00847C29" w:rsidRDefault="00714029" w:rsidP="0015107A">
            <w:pPr>
              <w:pStyle w:val="BodyText3"/>
              <w:tabs>
                <w:tab w:val="center" w:pos="4320"/>
                <w:tab w:val="right" w:pos="8640"/>
              </w:tabs>
              <w:spacing w:after="120"/>
              <w:jc w:val="both"/>
              <w:rPr>
                <w:rFonts w:ascii="Arial" w:hAnsi="Arial" w:cs="Arial"/>
                <w:b/>
                <w:color w:val="17365D"/>
                <w:sz w:val="22"/>
                <w:szCs w:val="22"/>
              </w:rPr>
            </w:pPr>
            <w:bookmarkStart w:id="0" w:name="_GoBack"/>
            <w:bookmarkEnd w:id="0"/>
            <w:r>
              <w:rPr>
                <w:rFonts w:ascii="Arial" w:hAnsi="Arial" w:cs="Arial"/>
                <w:b/>
                <w:noProof/>
                <w:color w:val="17365D"/>
                <w:sz w:val="22"/>
                <w:szCs w:val="22"/>
                <w:lang w:eastAsia="en-AU"/>
              </w:rPr>
              <mc:AlternateContent>
                <mc:Choice Requires="wps">
                  <w:drawing>
                    <wp:anchor distT="0" distB="0" distL="114300" distR="114300" simplePos="0" relativeHeight="251658240" behindDoc="0" locked="0" layoutInCell="1" allowOverlap="1">
                      <wp:simplePos x="0" y="0"/>
                      <wp:positionH relativeFrom="margin">
                        <wp:posOffset>210820</wp:posOffset>
                      </wp:positionH>
                      <wp:positionV relativeFrom="paragraph">
                        <wp:posOffset>234950</wp:posOffset>
                      </wp:positionV>
                      <wp:extent cx="979805" cy="815975"/>
                      <wp:effectExtent l="19050" t="19050" r="29845" b="60325"/>
                      <wp:wrapNone/>
                      <wp:docPr id="275"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805" cy="815975"/>
                              </a:xfrm>
                              <a:prstGeom prst="rect">
                                <a:avLst/>
                              </a:prstGeom>
                              <a:solidFill>
                                <a:srgbClr val="17365D"/>
                              </a:solidFill>
                              <a:ln w="38100">
                                <a:solidFill>
                                  <a:srgbClr val="8DB3E2"/>
                                </a:solidFill>
                                <a:miter lim="800000"/>
                                <a:headEnd/>
                                <a:tailEnd/>
                              </a:ln>
                              <a:effectLst>
                                <a:outerShdw dist="28398" dir="3806097" algn="ctr" rotWithShape="0">
                                  <a:srgbClr val="243F60">
                                    <a:alpha val="50000"/>
                                  </a:srgbClr>
                                </a:outerShdw>
                              </a:effectLst>
                            </wps:spPr>
                            <wps:txbx>
                              <w:txbxContent>
                                <w:p w:rsidR="00847C29" w:rsidRDefault="00847C29" w:rsidP="00847C29">
                                  <w:pPr>
                                    <w:pStyle w:val="BodyText2"/>
                                    <w:jc w:val="center"/>
                                    <w:rPr>
                                      <w:b/>
                                    </w:rPr>
                                  </w:pPr>
                                  <w:r>
                                    <w:rPr>
                                      <w:b/>
                                      <w:noProof/>
                                      <w:lang w:eastAsia="en-AU"/>
                                    </w:rPr>
                                    <w:drawing>
                                      <wp:inline distT="0" distB="0" distL="0" distR="0">
                                        <wp:extent cx="478790" cy="424815"/>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478790" cy="424815"/>
                                                </a:xfrm>
                                                <a:prstGeom prst="rect">
                                                  <a:avLst/>
                                                </a:prstGeom>
                                                <a:noFill/>
                                                <a:ln w="9525">
                                                  <a:noFill/>
                                                  <a:miter lim="800000"/>
                                                  <a:headEnd/>
                                                  <a:tailEnd/>
                                                </a:ln>
                                              </pic:spPr>
                                            </pic:pic>
                                          </a:graphicData>
                                        </a:graphic>
                                      </wp:inline>
                                    </w:drawing>
                                  </w:r>
                                  <w:r>
                                    <w:rPr>
                                      <w:b/>
                                    </w:rPr>
                                    <w:t xml:space="preserve"> </w:t>
                                  </w:r>
                                </w:p>
                                <w:p w:rsidR="00847C29" w:rsidRPr="00B746D5" w:rsidRDefault="00847C29" w:rsidP="00847C29">
                                  <w:pPr>
                                    <w:pStyle w:val="BodyText2"/>
                                    <w:jc w:val="center"/>
                                    <w:rPr>
                                      <w:rFonts w:ascii="Times New Roman" w:hAnsi="Times New Roman"/>
                                      <w:b/>
                                      <w:bCs/>
                                      <w:i/>
                                      <w:iCs/>
                                      <w:spacing w:val="-6"/>
                                      <w:sz w:val="16"/>
                                      <w:szCs w:val="16"/>
                                    </w:rPr>
                                  </w:pPr>
                                  <w:r w:rsidRPr="00B746D5">
                                    <w:rPr>
                                      <w:rFonts w:ascii="Times New Roman" w:hAnsi="Times New Roman"/>
                                      <w:b/>
                                      <w:bCs/>
                                      <w:i/>
                                      <w:iCs/>
                                      <w:spacing w:val="-6"/>
                                      <w:sz w:val="16"/>
                                      <w:szCs w:val="16"/>
                                    </w:rPr>
                                    <w:t>“Learn, Discover and Inspire”</w:t>
                                  </w:r>
                                </w:p>
                                <w:p w:rsidR="00847C29" w:rsidRPr="00B746D5" w:rsidRDefault="00847C29" w:rsidP="00847C29">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02" o:spid="_x0000_s1026" type="#_x0000_t202" style="position:absolute;left:0;text-align:left;margin-left:16.6pt;margin-top:18.5pt;width:77.15pt;height:64.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" fillcolor="#17365d" strokecolor="#8db3e2" strokeweight="3pt">
                      <v:shadow on="t" color="#243f60" opacity=".5" offset="1pt"/>
                      <v:textbox>
                        <w:txbxContent>
                          <w:p w:rsidR="00847C29" w:rsidRDefault="00847C29" w:rsidP="00847C29">
                            <w:pPr>
                              <w:pStyle w:val="BodyText2"/>
                              <w:jc w:val="center"/>
                              <w:rPr>
                                <w:b/>
                              </w:rPr>
                            </w:pPr>
                            <w:r>
                              <w:rPr>
                                <w:b/>
                                <w:noProof/>
                                <w:lang w:eastAsia="en-AU"/>
                              </w:rPr>
                              <w:drawing>
                                <wp:inline distT="0" distB="0" distL="0" distR="0">
                                  <wp:extent cx="478790" cy="424815"/>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478790" cy="424815"/>
                                          </a:xfrm>
                                          <a:prstGeom prst="rect">
                                            <a:avLst/>
                                          </a:prstGeom>
                                          <a:noFill/>
                                          <a:ln w="9525">
                                            <a:noFill/>
                                            <a:miter lim="800000"/>
                                            <a:headEnd/>
                                            <a:tailEnd/>
                                          </a:ln>
                                        </pic:spPr>
                                      </pic:pic>
                                    </a:graphicData>
                                  </a:graphic>
                                </wp:inline>
                              </w:drawing>
                            </w:r>
                            <w:r>
                              <w:rPr>
                                <w:b/>
                              </w:rPr>
                              <w:t xml:space="preserve"> </w:t>
                            </w:r>
                          </w:p>
                          <w:p w:rsidR="00847C29" w:rsidRPr="00B746D5" w:rsidRDefault="00847C29" w:rsidP="00847C29">
                            <w:pPr>
                              <w:pStyle w:val="BodyText2"/>
                              <w:jc w:val="center"/>
                              <w:rPr>
                                <w:rFonts w:ascii="Times New Roman" w:hAnsi="Times New Roman"/>
                                <w:b/>
                                <w:bCs/>
                                <w:i/>
                                <w:iCs/>
                                <w:spacing w:val="-6"/>
                                <w:sz w:val="16"/>
                                <w:szCs w:val="16"/>
                              </w:rPr>
                            </w:pPr>
                            <w:r w:rsidRPr="00B746D5">
                              <w:rPr>
                                <w:rFonts w:ascii="Times New Roman" w:hAnsi="Times New Roman"/>
                                <w:b/>
                                <w:bCs/>
                                <w:i/>
                                <w:iCs/>
                                <w:spacing w:val="-6"/>
                                <w:sz w:val="16"/>
                                <w:szCs w:val="16"/>
                              </w:rPr>
                              <w:t>“Learn, Discover and Inspire”</w:t>
                            </w:r>
                          </w:p>
                          <w:p w:rsidR="00847C29" w:rsidRPr="00B746D5" w:rsidRDefault="00847C29" w:rsidP="00847C29">
                            <w:pPr>
                              <w:rPr>
                                <w:sz w:val="16"/>
                                <w:szCs w:val="16"/>
                              </w:rPr>
                            </w:pPr>
                          </w:p>
                        </w:txbxContent>
                      </v:textbox>
                      <w10:wrap anchorx="margin"/>
                    </v:shape>
                  </w:pict>
                </mc:Fallback>
              </mc:AlternateContent>
            </w:r>
          </w:p>
        </w:tc>
        <w:tc>
          <w:tcPr>
            <w:tcW w:w="11798" w:type="dxa"/>
          </w:tcPr>
          <w:p w:rsidR="00847C29" w:rsidRPr="00847C29" w:rsidRDefault="00847C29" w:rsidP="009D2A85">
            <w:pPr>
              <w:pStyle w:val="Heading6"/>
              <w:outlineLvl w:val="5"/>
              <w:rPr>
                <w:rFonts w:ascii="Tahoma" w:hAnsi="Tahoma" w:cs="Tahoma"/>
                <w:b w:val="0"/>
                <w:noProof/>
                <w:color w:val="003366"/>
                <w:sz w:val="44"/>
                <w:szCs w:val="44"/>
              </w:rPr>
            </w:pPr>
            <w:r w:rsidRPr="00847C29">
              <w:rPr>
                <w:rFonts w:ascii="Tahoma" w:hAnsi="Tahoma" w:cs="Tahoma"/>
                <w:b w:val="0"/>
                <w:noProof/>
                <w:color w:val="003366"/>
                <w:sz w:val="44"/>
                <w:szCs w:val="44"/>
              </w:rPr>
              <w:t>Situational Analysis</w:t>
            </w:r>
            <w:r>
              <w:rPr>
                <w:rFonts w:ascii="Tahoma" w:hAnsi="Tahoma" w:cs="Tahoma"/>
                <w:b w:val="0"/>
                <w:noProof/>
                <w:color w:val="003366"/>
                <w:sz w:val="44"/>
                <w:szCs w:val="44"/>
              </w:rPr>
              <w:t>- Improving Literacy and Numeracy National Partnership</w:t>
            </w:r>
          </w:p>
          <w:p w:rsidR="00847C29" w:rsidRPr="00B965A1" w:rsidRDefault="00847C29" w:rsidP="009D2A85">
            <w:pPr>
              <w:jc w:val="center"/>
              <w:rPr>
                <w:rFonts w:ascii="Tahoma" w:hAnsi="Tahoma" w:cs="Tahoma"/>
              </w:rPr>
            </w:pPr>
          </w:p>
          <w:p w:rsidR="00847C29" w:rsidRPr="00847C29" w:rsidRDefault="00847C29" w:rsidP="009D2A85">
            <w:pPr>
              <w:pStyle w:val="BodyText3"/>
              <w:tabs>
                <w:tab w:val="center" w:pos="4320"/>
                <w:tab w:val="right" w:pos="8640"/>
              </w:tabs>
              <w:spacing w:after="120"/>
              <w:jc w:val="center"/>
              <w:rPr>
                <w:rFonts w:ascii="Arial" w:hAnsi="Arial" w:cs="Arial"/>
                <w:b/>
                <w:color w:val="17365D"/>
                <w:sz w:val="32"/>
                <w:szCs w:val="32"/>
              </w:rPr>
            </w:pPr>
            <w:r w:rsidRPr="00847C29">
              <w:rPr>
                <w:rFonts w:ascii="Lucida Handwriting" w:hAnsi="Lucida Handwriting" w:cs="Tahoma"/>
                <w:color w:val="FF6600"/>
                <w:sz w:val="32"/>
                <w:szCs w:val="32"/>
              </w:rPr>
              <w:t>Chifley College Dunheved Campus</w:t>
            </w:r>
          </w:p>
        </w:tc>
      </w:tr>
      <w:tr w:rsidR="00847C29" w:rsidTr="00847C29">
        <w:tc>
          <w:tcPr>
            <w:tcW w:w="2376" w:type="dxa"/>
          </w:tcPr>
          <w:p w:rsidR="009D2A85" w:rsidRDefault="009D2A85" w:rsidP="009D2A85">
            <w:pPr>
              <w:pStyle w:val="BodyText3"/>
              <w:tabs>
                <w:tab w:val="center" w:pos="4320"/>
                <w:tab w:val="right" w:pos="8640"/>
              </w:tabs>
              <w:spacing w:after="120"/>
              <w:jc w:val="center"/>
              <w:rPr>
                <w:rFonts w:ascii="Arial" w:hAnsi="Arial" w:cs="Arial"/>
                <w:b/>
                <w:color w:val="17365D"/>
                <w:szCs w:val="28"/>
              </w:rPr>
            </w:pPr>
          </w:p>
          <w:p w:rsidR="009D2A85" w:rsidRDefault="009D2A85" w:rsidP="009D2A85">
            <w:pPr>
              <w:pStyle w:val="BodyText3"/>
              <w:tabs>
                <w:tab w:val="center" w:pos="4320"/>
                <w:tab w:val="right" w:pos="8640"/>
              </w:tabs>
              <w:spacing w:after="120"/>
              <w:jc w:val="center"/>
              <w:rPr>
                <w:rFonts w:ascii="Arial" w:hAnsi="Arial" w:cs="Arial"/>
                <w:b/>
                <w:color w:val="17365D"/>
                <w:szCs w:val="28"/>
              </w:rPr>
            </w:pPr>
          </w:p>
          <w:p w:rsidR="009D2A85" w:rsidRDefault="009D2A85" w:rsidP="009D2A85">
            <w:pPr>
              <w:pStyle w:val="BodyText3"/>
              <w:tabs>
                <w:tab w:val="center" w:pos="4320"/>
                <w:tab w:val="right" w:pos="8640"/>
              </w:tabs>
              <w:spacing w:after="120"/>
              <w:jc w:val="center"/>
              <w:rPr>
                <w:rFonts w:ascii="Arial" w:hAnsi="Arial" w:cs="Arial"/>
                <w:b/>
                <w:color w:val="17365D"/>
                <w:szCs w:val="28"/>
              </w:rPr>
            </w:pPr>
          </w:p>
          <w:p w:rsidR="009D2A85" w:rsidRDefault="009D2A85" w:rsidP="009D2A85">
            <w:pPr>
              <w:pStyle w:val="BodyText3"/>
              <w:tabs>
                <w:tab w:val="center" w:pos="4320"/>
                <w:tab w:val="right" w:pos="8640"/>
              </w:tabs>
              <w:spacing w:after="120"/>
              <w:jc w:val="center"/>
              <w:rPr>
                <w:rFonts w:ascii="Arial" w:hAnsi="Arial" w:cs="Arial"/>
                <w:b/>
                <w:color w:val="17365D"/>
                <w:szCs w:val="28"/>
              </w:rPr>
            </w:pPr>
          </w:p>
          <w:p w:rsidR="00847C29" w:rsidRPr="00221244" w:rsidRDefault="009D2A85" w:rsidP="009D2A85">
            <w:pPr>
              <w:pStyle w:val="BodyText3"/>
              <w:tabs>
                <w:tab w:val="center" w:pos="4320"/>
                <w:tab w:val="right" w:pos="8640"/>
              </w:tabs>
              <w:spacing w:after="120"/>
              <w:rPr>
                <w:rFonts w:ascii="Arial" w:hAnsi="Arial" w:cs="Arial"/>
                <w:b/>
                <w:color w:val="17365D"/>
                <w:sz w:val="24"/>
                <w:szCs w:val="24"/>
              </w:rPr>
            </w:pPr>
            <w:r w:rsidRPr="00221244">
              <w:rPr>
                <w:rFonts w:ascii="Arial" w:hAnsi="Arial" w:cs="Arial"/>
                <w:b/>
                <w:color w:val="17365D"/>
                <w:sz w:val="24"/>
                <w:szCs w:val="24"/>
              </w:rPr>
              <w:t>School Context</w:t>
            </w:r>
          </w:p>
          <w:p w:rsidR="00847C29" w:rsidRPr="00221244" w:rsidRDefault="00847C29" w:rsidP="0015107A">
            <w:pPr>
              <w:pStyle w:val="BodyText3"/>
              <w:tabs>
                <w:tab w:val="center" w:pos="4320"/>
                <w:tab w:val="right" w:pos="8640"/>
              </w:tabs>
              <w:spacing w:after="120"/>
              <w:jc w:val="both"/>
              <w:rPr>
                <w:rFonts w:ascii="Arial" w:hAnsi="Arial" w:cs="Arial"/>
                <w:b/>
                <w:color w:val="17365D"/>
                <w:sz w:val="24"/>
                <w:szCs w:val="24"/>
              </w:rPr>
            </w:pPr>
          </w:p>
          <w:p w:rsidR="00847C29" w:rsidRDefault="00847C29" w:rsidP="0015107A">
            <w:pPr>
              <w:pStyle w:val="BodyText3"/>
              <w:tabs>
                <w:tab w:val="center" w:pos="4320"/>
                <w:tab w:val="right" w:pos="8640"/>
              </w:tabs>
              <w:spacing w:after="120"/>
              <w:jc w:val="both"/>
              <w:rPr>
                <w:rFonts w:ascii="Arial" w:hAnsi="Arial" w:cs="Arial"/>
                <w:b/>
                <w:color w:val="17365D"/>
                <w:sz w:val="22"/>
                <w:szCs w:val="22"/>
              </w:rPr>
            </w:pPr>
          </w:p>
        </w:tc>
        <w:tc>
          <w:tcPr>
            <w:tcW w:w="11798" w:type="dxa"/>
          </w:tcPr>
          <w:p w:rsidR="009D2A85" w:rsidRPr="007C595F" w:rsidRDefault="009D2A85" w:rsidP="009D2A85">
            <w:pPr>
              <w:pStyle w:val="BodyText3"/>
              <w:tabs>
                <w:tab w:val="center" w:pos="4320"/>
                <w:tab w:val="right" w:pos="8640"/>
              </w:tabs>
              <w:spacing w:after="120"/>
              <w:jc w:val="both"/>
              <w:rPr>
                <w:rFonts w:ascii="Arial" w:hAnsi="Arial" w:cs="Arial"/>
                <w:sz w:val="24"/>
                <w:szCs w:val="24"/>
              </w:rPr>
            </w:pPr>
            <w:r w:rsidRPr="007C595F">
              <w:rPr>
                <w:rFonts w:ascii="Arial" w:hAnsi="Arial" w:cs="Arial"/>
                <w:sz w:val="24"/>
                <w:szCs w:val="24"/>
              </w:rPr>
              <w:t xml:space="preserve">Chifley College Dunheved Campus is a progressive, collaborative and compassionate middle-school (Years 7-10), where together, students, staff, collegial partners, parents and the community “Learn, Discover and Inspire”. The school is an individual campus that exists as part of a federation of five schools known as Chifley College and is situated on Darug land in the Mt. Druitt school education area. In celebration of our Aboriginal heritage, our community acknowledges the traditional custodians of the Land, and continues to respect the wisdom and leadership of elders both past and present.  </w:t>
            </w:r>
          </w:p>
          <w:p w:rsidR="009D2A85" w:rsidRPr="007C595F" w:rsidRDefault="009D2A85" w:rsidP="009D2A85">
            <w:pPr>
              <w:pStyle w:val="BodyText3"/>
              <w:tabs>
                <w:tab w:val="center" w:pos="4320"/>
                <w:tab w:val="right" w:pos="8640"/>
              </w:tabs>
              <w:spacing w:after="120"/>
              <w:jc w:val="both"/>
              <w:rPr>
                <w:rFonts w:ascii="Arial" w:hAnsi="Arial" w:cs="Arial"/>
                <w:sz w:val="24"/>
                <w:szCs w:val="24"/>
              </w:rPr>
            </w:pPr>
            <w:r w:rsidRPr="007C595F">
              <w:rPr>
                <w:rFonts w:ascii="Arial" w:hAnsi="Arial" w:cs="Arial"/>
                <w:sz w:val="24"/>
                <w:szCs w:val="24"/>
              </w:rPr>
              <w:t>The s</w:t>
            </w:r>
            <w:r w:rsidR="00506B79">
              <w:rPr>
                <w:rFonts w:ascii="Arial" w:hAnsi="Arial" w:cs="Arial"/>
                <w:sz w:val="24"/>
                <w:szCs w:val="24"/>
              </w:rPr>
              <w:t>chool’s current enrolment of 285</w:t>
            </w:r>
            <w:r w:rsidRPr="007C595F">
              <w:rPr>
                <w:rFonts w:ascii="Arial" w:hAnsi="Arial" w:cs="Arial"/>
                <w:sz w:val="24"/>
                <w:szCs w:val="24"/>
              </w:rPr>
              <w:t xml:space="preserve"> students, includes a Support Unit for IM and IO students with an enrolment of 40 students. The school currently receives funding to support student learning outcomes through the Priority</w:t>
            </w:r>
            <w:r w:rsidR="004618ED">
              <w:rPr>
                <w:rFonts w:ascii="Arial" w:hAnsi="Arial" w:cs="Arial"/>
                <w:sz w:val="24"/>
                <w:szCs w:val="24"/>
              </w:rPr>
              <w:t xml:space="preserve"> Schools and Low Socio Economic/ Improving Literacy and Numeracy National Partnership</w:t>
            </w:r>
            <w:r w:rsidRPr="007C595F">
              <w:rPr>
                <w:rFonts w:ascii="Arial" w:hAnsi="Arial" w:cs="Arial"/>
                <w:sz w:val="24"/>
                <w:szCs w:val="24"/>
              </w:rPr>
              <w:t xml:space="preserve"> Programs. </w:t>
            </w:r>
          </w:p>
          <w:p w:rsidR="009D090B" w:rsidRDefault="009D2A85" w:rsidP="009D090B">
            <w:pPr>
              <w:tabs>
                <w:tab w:val="center" w:pos="4320"/>
                <w:tab w:val="right" w:pos="8640"/>
              </w:tabs>
              <w:spacing w:after="80"/>
              <w:rPr>
                <w:rFonts w:ascii="Arial" w:hAnsi="Arial" w:cs="Arial"/>
                <w:sz w:val="24"/>
                <w:szCs w:val="24"/>
              </w:rPr>
            </w:pPr>
            <w:r w:rsidRPr="007C595F">
              <w:rPr>
                <w:rFonts w:ascii="Arial" w:hAnsi="Arial" w:cs="Arial"/>
                <w:sz w:val="24"/>
                <w:szCs w:val="24"/>
              </w:rPr>
              <w:t>Through the Positive Behaviour for Learning framework and a focus on Creativity and Innovation in all aspects of the school’s operations, we provide a continuum of social and learning support for all students. The school has established 21</w:t>
            </w:r>
            <w:r w:rsidRPr="007C595F">
              <w:rPr>
                <w:rFonts w:ascii="Arial" w:hAnsi="Arial" w:cs="Arial"/>
                <w:sz w:val="24"/>
                <w:szCs w:val="24"/>
                <w:vertAlign w:val="superscript"/>
              </w:rPr>
              <w:t>st</w:t>
            </w:r>
            <w:r w:rsidRPr="007C595F">
              <w:rPr>
                <w:rFonts w:ascii="Arial" w:hAnsi="Arial" w:cs="Arial"/>
                <w:sz w:val="24"/>
                <w:szCs w:val="24"/>
              </w:rPr>
              <w:t xml:space="preserve"> Century Learning Hubs where students can access the latest technology for learning. We promote personalised learning and a holistic approach to the development of students in the social and affective domains, as key drivers for academic development. Our links with Mt Druitt TAFE provide our students with unique opportunities to develop and pursue vocational skills and courses. Students are guided by dedicated staff members who act as learning advocates, providing support in all aspects of learning as students navigate their way through secondary schooling.</w:t>
            </w:r>
          </w:p>
          <w:p w:rsidR="004618ED" w:rsidRPr="004618ED" w:rsidRDefault="004618ED" w:rsidP="009D090B">
            <w:pPr>
              <w:tabs>
                <w:tab w:val="center" w:pos="4320"/>
                <w:tab w:val="right" w:pos="8640"/>
              </w:tabs>
              <w:spacing w:after="80"/>
              <w:rPr>
                <w:rFonts w:ascii="Arial" w:hAnsi="Arial" w:cs="Arial"/>
              </w:rPr>
            </w:pPr>
          </w:p>
        </w:tc>
      </w:tr>
      <w:tr w:rsidR="00847C29" w:rsidTr="00847C29">
        <w:tc>
          <w:tcPr>
            <w:tcW w:w="2376" w:type="dxa"/>
          </w:tcPr>
          <w:p w:rsidR="00847C29" w:rsidRDefault="00847C29" w:rsidP="0015107A">
            <w:pPr>
              <w:pStyle w:val="BodyText3"/>
              <w:tabs>
                <w:tab w:val="center" w:pos="4320"/>
                <w:tab w:val="right" w:pos="8640"/>
              </w:tabs>
              <w:spacing w:after="120"/>
              <w:jc w:val="both"/>
              <w:rPr>
                <w:rFonts w:ascii="Arial" w:hAnsi="Arial" w:cs="Arial"/>
                <w:b/>
                <w:color w:val="17365D"/>
                <w:sz w:val="22"/>
                <w:szCs w:val="22"/>
              </w:rPr>
            </w:pPr>
          </w:p>
          <w:p w:rsidR="00847C29" w:rsidRDefault="00847C29" w:rsidP="0015107A">
            <w:pPr>
              <w:pStyle w:val="BodyText3"/>
              <w:tabs>
                <w:tab w:val="center" w:pos="4320"/>
                <w:tab w:val="right" w:pos="8640"/>
              </w:tabs>
              <w:spacing w:after="120"/>
              <w:jc w:val="both"/>
              <w:rPr>
                <w:rFonts w:ascii="Arial" w:hAnsi="Arial" w:cs="Arial"/>
                <w:b/>
                <w:color w:val="17365D"/>
                <w:sz w:val="22"/>
                <w:szCs w:val="22"/>
              </w:rPr>
            </w:pPr>
          </w:p>
          <w:p w:rsidR="00847C29" w:rsidRPr="00221244" w:rsidRDefault="007C595F" w:rsidP="0015107A">
            <w:pPr>
              <w:pStyle w:val="BodyText3"/>
              <w:tabs>
                <w:tab w:val="center" w:pos="4320"/>
                <w:tab w:val="right" w:pos="8640"/>
              </w:tabs>
              <w:spacing w:after="120"/>
              <w:jc w:val="both"/>
              <w:rPr>
                <w:rFonts w:ascii="Arial" w:hAnsi="Arial" w:cs="Arial"/>
                <w:b/>
                <w:color w:val="17365D"/>
                <w:sz w:val="24"/>
                <w:szCs w:val="24"/>
              </w:rPr>
            </w:pPr>
            <w:r w:rsidRPr="00221244">
              <w:rPr>
                <w:rFonts w:ascii="Arial" w:hAnsi="Arial" w:cs="Arial"/>
                <w:b/>
                <w:color w:val="17365D"/>
                <w:sz w:val="24"/>
                <w:szCs w:val="24"/>
              </w:rPr>
              <w:t>School Targets</w:t>
            </w:r>
          </w:p>
        </w:tc>
        <w:tc>
          <w:tcPr>
            <w:tcW w:w="11798" w:type="dxa"/>
          </w:tcPr>
          <w:p w:rsidR="001F396F" w:rsidRPr="007C595F" w:rsidRDefault="009D2A85" w:rsidP="0015107A">
            <w:pPr>
              <w:pStyle w:val="BodyText3"/>
              <w:tabs>
                <w:tab w:val="center" w:pos="4320"/>
                <w:tab w:val="right" w:pos="8640"/>
              </w:tabs>
              <w:spacing w:after="120"/>
              <w:jc w:val="both"/>
              <w:rPr>
                <w:rFonts w:ascii="Arial" w:hAnsi="Arial" w:cs="Arial"/>
                <w:sz w:val="24"/>
                <w:szCs w:val="24"/>
              </w:rPr>
            </w:pPr>
            <w:r w:rsidRPr="007C595F">
              <w:rPr>
                <w:rFonts w:ascii="Arial" w:hAnsi="Arial" w:cs="Arial"/>
                <w:sz w:val="24"/>
                <w:szCs w:val="24"/>
              </w:rPr>
              <w:t xml:space="preserve">The School Plan has a range </w:t>
            </w:r>
            <w:r w:rsidR="007C595F">
              <w:rPr>
                <w:rFonts w:ascii="Arial" w:hAnsi="Arial" w:cs="Arial"/>
                <w:sz w:val="24"/>
                <w:szCs w:val="24"/>
              </w:rPr>
              <w:t xml:space="preserve">of 3 year targets </w:t>
            </w:r>
            <w:r w:rsidRPr="007C595F">
              <w:rPr>
                <w:rFonts w:ascii="Arial" w:hAnsi="Arial" w:cs="Arial"/>
                <w:sz w:val="24"/>
                <w:szCs w:val="24"/>
              </w:rPr>
              <w:t xml:space="preserve">in literacy and numeracy </w:t>
            </w:r>
            <w:r w:rsidR="007C595F">
              <w:rPr>
                <w:rFonts w:ascii="Arial" w:hAnsi="Arial" w:cs="Arial"/>
                <w:sz w:val="24"/>
                <w:szCs w:val="24"/>
              </w:rPr>
              <w:t>(some of these</w:t>
            </w:r>
            <w:r w:rsidR="007C595F" w:rsidRPr="007C595F">
              <w:rPr>
                <w:rFonts w:ascii="Arial" w:hAnsi="Arial" w:cs="Arial"/>
                <w:sz w:val="24"/>
                <w:szCs w:val="24"/>
              </w:rPr>
              <w:t xml:space="preserve"> were revised in the 2012 evaluation process) </w:t>
            </w:r>
            <w:r w:rsidRPr="007C595F">
              <w:rPr>
                <w:rFonts w:ascii="Arial" w:hAnsi="Arial" w:cs="Arial"/>
                <w:sz w:val="24"/>
                <w:szCs w:val="24"/>
              </w:rPr>
              <w:t>aimed at significantly reducing the percentage of Year 9 students in Band 5 and increasing the percentage of Year 9 students achieving Bands 8, 9 and 10.</w:t>
            </w:r>
            <w:r w:rsidR="007C595F" w:rsidRPr="007C595F">
              <w:rPr>
                <w:rFonts w:ascii="Arial" w:hAnsi="Arial" w:cs="Arial"/>
                <w:sz w:val="24"/>
                <w:szCs w:val="24"/>
              </w:rPr>
              <w:t xml:space="preserve"> The focus for the Improving Literacy and Numeracy National Partnership will be numeracy. The current targets, as stated in the school plan</w:t>
            </w:r>
            <w:r w:rsidR="007C7D63">
              <w:rPr>
                <w:rFonts w:ascii="Arial" w:hAnsi="Arial" w:cs="Arial"/>
                <w:sz w:val="24"/>
                <w:szCs w:val="24"/>
              </w:rPr>
              <w:t>,</w:t>
            </w:r>
            <w:r w:rsidR="007C595F" w:rsidRPr="007C595F">
              <w:rPr>
                <w:rFonts w:ascii="Arial" w:hAnsi="Arial" w:cs="Arial"/>
                <w:sz w:val="24"/>
                <w:szCs w:val="24"/>
              </w:rPr>
              <w:t xml:space="preserve"> will be maintained and targets specific to the focus group added.</w:t>
            </w:r>
          </w:p>
          <w:p w:rsidR="001F396F" w:rsidRDefault="001F396F" w:rsidP="007C595F">
            <w:pPr>
              <w:tabs>
                <w:tab w:val="center" w:pos="4320"/>
                <w:tab w:val="right" w:pos="8640"/>
              </w:tabs>
              <w:spacing w:after="80"/>
              <w:rPr>
                <w:rFonts w:ascii="Arial" w:hAnsi="Arial" w:cs="Arial"/>
                <w:b/>
                <w:color w:val="17365D"/>
                <w:sz w:val="24"/>
                <w:szCs w:val="24"/>
              </w:rPr>
            </w:pPr>
          </w:p>
          <w:p w:rsidR="007C595F" w:rsidRPr="00031FE2" w:rsidRDefault="007C595F" w:rsidP="007C595F">
            <w:pPr>
              <w:tabs>
                <w:tab w:val="center" w:pos="4320"/>
                <w:tab w:val="right" w:pos="8640"/>
              </w:tabs>
              <w:spacing w:after="80"/>
              <w:rPr>
                <w:rFonts w:ascii="Arial" w:hAnsi="Arial" w:cs="Arial"/>
                <w:b/>
                <w:color w:val="17365D"/>
                <w:sz w:val="24"/>
                <w:szCs w:val="24"/>
              </w:rPr>
            </w:pPr>
            <w:r w:rsidRPr="00031FE2">
              <w:rPr>
                <w:rFonts w:ascii="Arial" w:hAnsi="Arial" w:cs="Arial"/>
                <w:b/>
                <w:color w:val="17365D"/>
                <w:sz w:val="24"/>
                <w:szCs w:val="24"/>
              </w:rPr>
              <w:t>School Plan</w:t>
            </w:r>
            <w:r w:rsidR="009D090B" w:rsidRPr="00031FE2">
              <w:rPr>
                <w:rFonts w:ascii="Arial" w:hAnsi="Arial" w:cs="Arial"/>
                <w:b/>
                <w:color w:val="17365D"/>
                <w:sz w:val="24"/>
                <w:szCs w:val="24"/>
              </w:rPr>
              <w:t xml:space="preserve"> Targets –</w:t>
            </w:r>
            <w:r w:rsidRPr="00031FE2">
              <w:rPr>
                <w:rFonts w:ascii="Arial" w:hAnsi="Arial" w:cs="Arial"/>
                <w:b/>
                <w:color w:val="17365D"/>
                <w:sz w:val="24"/>
                <w:szCs w:val="24"/>
              </w:rPr>
              <w:t xml:space="preserve"> </w:t>
            </w:r>
            <w:r w:rsidR="009D090B" w:rsidRPr="00031FE2">
              <w:rPr>
                <w:rFonts w:ascii="Arial" w:hAnsi="Arial" w:cs="Arial"/>
                <w:b/>
                <w:color w:val="17365D"/>
                <w:sz w:val="24"/>
                <w:szCs w:val="24"/>
              </w:rPr>
              <w:t xml:space="preserve">NAPLAN </w:t>
            </w:r>
            <w:r w:rsidRPr="00031FE2">
              <w:rPr>
                <w:rFonts w:ascii="Arial" w:hAnsi="Arial" w:cs="Arial"/>
                <w:b/>
                <w:color w:val="17365D"/>
                <w:sz w:val="24"/>
                <w:szCs w:val="24"/>
              </w:rPr>
              <w:t>Numeracy</w:t>
            </w:r>
          </w:p>
          <w:p w:rsidR="007C595F" w:rsidRPr="007C595F" w:rsidRDefault="007C595F" w:rsidP="007C595F">
            <w:pPr>
              <w:pStyle w:val="RRBodyText"/>
              <w:numPr>
                <w:ilvl w:val="0"/>
                <w:numId w:val="1"/>
              </w:numPr>
              <w:spacing w:before="0" w:after="80"/>
              <w:jc w:val="left"/>
              <w:rPr>
                <w:bCs w:val="0"/>
                <w:sz w:val="24"/>
                <w:szCs w:val="24"/>
              </w:rPr>
            </w:pPr>
            <w:r w:rsidRPr="007C595F">
              <w:rPr>
                <w:bCs w:val="0"/>
                <w:sz w:val="24"/>
                <w:szCs w:val="24"/>
              </w:rPr>
              <w:t>Reduce the percentage of Year 9 students in Band 5 from 30% in 2012 to 25% by 2014</w:t>
            </w:r>
          </w:p>
          <w:p w:rsidR="007C595F" w:rsidRPr="007C595F" w:rsidRDefault="007C595F" w:rsidP="007C595F">
            <w:pPr>
              <w:pStyle w:val="RRBodyText"/>
              <w:numPr>
                <w:ilvl w:val="0"/>
                <w:numId w:val="1"/>
              </w:numPr>
              <w:spacing w:before="0" w:after="80"/>
              <w:jc w:val="left"/>
              <w:rPr>
                <w:bCs w:val="0"/>
                <w:sz w:val="24"/>
                <w:szCs w:val="24"/>
              </w:rPr>
            </w:pPr>
            <w:r w:rsidRPr="007C595F">
              <w:rPr>
                <w:bCs w:val="0"/>
                <w:sz w:val="24"/>
                <w:szCs w:val="24"/>
              </w:rPr>
              <w:t>Increase the percentage of Year 9 students in Bands 8, 9 &amp; 10 from 3% in 2011 to 15% by 2014</w:t>
            </w:r>
          </w:p>
          <w:p w:rsidR="001F396F" w:rsidRDefault="001F396F" w:rsidP="009D090B">
            <w:pPr>
              <w:tabs>
                <w:tab w:val="center" w:pos="4320"/>
                <w:tab w:val="right" w:pos="8640"/>
              </w:tabs>
              <w:spacing w:after="80"/>
              <w:rPr>
                <w:rFonts w:ascii="Arial" w:hAnsi="Arial" w:cs="Arial"/>
                <w:b/>
                <w:color w:val="17365D"/>
                <w:sz w:val="24"/>
                <w:szCs w:val="24"/>
              </w:rPr>
            </w:pPr>
          </w:p>
          <w:p w:rsidR="007C595F" w:rsidRPr="00031FE2" w:rsidRDefault="009D090B" w:rsidP="009D090B">
            <w:pPr>
              <w:tabs>
                <w:tab w:val="center" w:pos="4320"/>
                <w:tab w:val="right" w:pos="8640"/>
              </w:tabs>
              <w:spacing w:after="80"/>
              <w:rPr>
                <w:rFonts w:ascii="Arial" w:hAnsi="Arial" w:cs="Arial"/>
                <w:b/>
                <w:color w:val="17365D"/>
                <w:sz w:val="24"/>
                <w:szCs w:val="24"/>
              </w:rPr>
            </w:pPr>
            <w:r w:rsidRPr="00031FE2">
              <w:rPr>
                <w:rFonts w:ascii="Arial" w:hAnsi="Arial" w:cs="Arial"/>
                <w:b/>
                <w:color w:val="17365D"/>
                <w:sz w:val="24"/>
                <w:szCs w:val="24"/>
              </w:rPr>
              <w:t xml:space="preserve">School Plan ILNNP Targets- </w:t>
            </w:r>
            <w:r w:rsidR="007C595F" w:rsidRPr="00031FE2">
              <w:rPr>
                <w:rFonts w:ascii="Arial" w:hAnsi="Arial" w:cs="Arial"/>
                <w:b/>
                <w:color w:val="17365D"/>
                <w:sz w:val="24"/>
                <w:szCs w:val="24"/>
              </w:rPr>
              <w:t>Numeracy Continuum</w:t>
            </w:r>
          </w:p>
          <w:p w:rsidR="007C595F" w:rsidRPr="007E7F26" w:rsidRDefault="007C595F" w:rsidP="007E7F26">
            <w:pPr>
              <w:pStyle w:val="RRBodyText"/>
              <w:numPr>
                <w:ilvl w:val="0"/>
                <w:numId w:val="1"/>
              </w:numPr>
              <w:spacing w:before="0" w:after="80"/>
              <w:jc w:val="left"/>
              <w:rPr>
                <w:bCs w:val="0"/>
                <w:sz w:val="24"/>
                <w:szCs w:val="24"/>
              </w:rPr>
            </w:pPr>
            <w:r w:rsidRPr="007E7F26">
              <w:rPr>
                <w:sz w:val="24"/>
                <w:szCs w:val="24"/>
              </w:rPr>
              <w:t xml:space="preserve">Reduce the percentage of Year 7 students ‘well below’ expectation on the Numeracy Continuum </w:t>
            </w:r>
            <w:r w:rsidR="00400387" w:rsidRPr="007E7F26">
              <w:rPr>
                <w:sz w:val="24"/>
                <w:szCs w:val="24"/>
              </w:rPr>
              <w:t>from 31% in 2013 to 25</w:t>
            </w:r>
            <w:r w:rsidRPr="007E7F26">
              <w:rPr>
                <w:sz w:val="24"/>
                <w:szCs w:val="24"/>
              </w:rPr>
              <w:t>% in 2014</w:t>
            </w:r>
          </w:p>
          <w:p w:rsidR="007C595F" w:rsidRPr="007E7F26" w:rsidRDefault="007C595F" w:rsidP="007C595F">
            <w:pPr>
              <w:pStyle w:val="RRBodyText"/>
              <w:numPr>
                <w:ilvl w:val="0"/>
                <w:numId w:val="1"/>
              </w:numPr>
              <w:spacing w:before="0" w:after="80"/>
              <w:jc w:val="left"/>
              <w:rPr>
                <w:bCs w:val="0"/>
                <w:sz w:val="24"/>
                <w:szCs w:val="24"/>
              </w:rPr>
            </w:pPr>
            <w:r w:rsidRPr="007E7F26">
              <w:rPr>
                <w:sz w:val="24"/>
                <w:szCs w:val="24"/>
              </w:rPr>
              <w:t>Increase  the percentage of Year 7 students ‘well above, above and at’ expectation on the Numera</w:t>
            </w:r>
            <w:r w:rsidR="00400387" w:rsidRPr="007E7F26">
              <w:rPr>
                <w:sz w:val="24"/>
                <w:szCs w:val="24"/>
              </w:rPr>
              <w:t>cy Continuum from 23</w:t>
            </w:r>
            <w:r w:rsidRPr="007E7F26">
              <w:rPr>
                <w:sz w:val="24"/>
                <w:szCs w:val="24"/>
              </w:rPr>
              <w:t xml:space="preserve">%  in 2013 </w:t>
            </w:r>
            <w:r w:rsidR="00400387" w:rsidRPr="007E7F26">
              <w:rPr>
                <w:sz w:val="24"/>
                <w:szCs w:val="24"/>
              </w:rPr>
              <w:t>to 30</w:t>
            </w:r>
            <w:r w:rsidRPr="007E7F26">
              <w:rPr>
                <w:sz w:val="24"/>
                <w:szCs w:val="24"/>
              </w:rPr>
              <w:t>% in 2014</w:t>
            </w:r>
          </w:p>
          <w:p w:rsidR="007C595F" w:rsidRPr="007E7F26" w:rsidRDefault="007C595F" w:rsidP="007C595F">
            <w:pPr>
              <w:pStyle w:val="RRBodyText"/>
              <w:numPr>
                <w:ilvl w:val="0"/>
                <w:numId w:val="1"/>
              </w:numPr>
              <w:spacing w:before="0" w:after="80"/>
              <w:jc w:val="left"/>
              <w:rPr>
                <w:bCs w:val="0"/>
                <w:sz w:val="24"/>
                <w:szCs w:val="24"/>
              </w:rPr>
            </w:pPr>
            <w:r w:rsidRPr="007E7F26">
              <w:rPr>
                <w:sz w:val="24"/>
                <w:szCs w:val="24"/>
              </w:rPr>
              <w:t>Increase number of teaching staff accessing training in the Numeracy Continuum from 10% in 2013 to 90% in 2014.</w:t>
            </w:r>
          </w:p>
          <w:p w:rsidR="007C595F" w:rsidRDefault="007C595F" w:rsidP="009D090B">
            <w:pPr>
              <w:rPr>
                <w:rFonts w:ascii="Arial" w:hAnsi="Arial" w:cs="Arial"/>
                <w:sz w:val="24"/>
                <w:szCs w:val="24"/>
              </w:rPr>
            </w:pPr>
            <w:r w:rsidRPr="007C595F">
              <w:rPr>
                <w:rFonts w:ascii="Arial" w:hAnsi="Arial" w:cs="Arial"/>
                <w:sz w:val="24"/>
                <w:szCs w:val="24"/>
              </w:rPr>
              <w:t>*Numeracy Continuum- K-10 Early Arithmetical Strategies and Place Value.</w:t>
            </w:r>
          </w:p>
          <w:p w:rsidR="009D090B" w:rsidRPr="007C595F" w:rsidRDefault="009D090B" w:rsidP="009D090B">
            <w:pPr>
              <w:rPr>
                <w:rFonts w:ascii="Arial" w:hAnsi="Arial" w:cs="Arial"/>
                <w:sz w:val="24"/>
                <w:szCs w:val="24"/>
              </w:rPr>
            </w:pPr>
          </w:p>
        </w:tc>
      </w:tr>
      <w:tr w:rsidR="00847C29" w:rsidTr="00847C29">
        <w:tc>
          <w:tcPr>
            <w:tcW w:w="2376" w:type="dxa"/>
          </w:tcPr>
          <w:p w:rsidR="00847C29" w:rsidRPr="00221244" w:rsidRDefault="00847C29" w:rsidP="0015107A">
            <w:pPr>
              <w:pStyle w:val="BodyText3"/>
              <w:tabs>
                <w:tab w:val="center" w:pos="4320"/>
                <w:tab w:val="right" w:pos="8640"/>
              </w:tabs>
              <w:spacing w:after="120"/>
              <w:jc w:val="both"/>
              <w:rPr>
                <w:rFonts w:ascii="Arial" w:hAnsi="Arial" w:cs="Arial"/>
                <w:b/>
                <w:color w:val="17365D"/>
                <w:szCs w:val="28"/>
              </w:rPr>
            </w:pPr>
          </w:p>
          <w:p w:rsidR="00847C29" w:rsidRPr="00221244" w:rsidRDefault="00221244" w:rsidP="0015107A">
            <w:pPr>
              <w:pStyle w:val="BodyText3"/>
              <w:tabs>
                <w:tab w:val="center" w:pos="4320"/>
                <w:tab w:val="right" w:pos="8640"/>
              </w:tabs>
              <w:spacing w:after="120"/>
              <w:jc w:val="both"/>
              <w:rPr>
                <w:rFonts w:ascii="Arial" w:hAnsi="Arial" w:cs="Arial"/>
                <w:b/>
                <w:color w:val="17365D"/>
                <w:sz w:val="24"/>
                <w:szCs w:val="24"/>
              </w:rPr>
            </w:pPr>
            <w:r w:rsidRPr="00221244">
              <w:rPr>
                <w:rFonts w:ascii="Arial" w:hAnsi="Arial" w:cs="Arial"/>
                <w:b/>
                <w:color w:val="17365D"/>
                <w:sz w:val="24"/>
                <w:szCs w:val="24"/>
              </w:rPr>
              <w:t xml:space="preserve">2012-2013 </w:t>
            </w:r>
            <w:r w:rsidR="0014161D" w:rsidRPr="00221244">
              <w:rPr>
                <w:rFonts w:ascii="Arial" w:hAnsi="Arial" w:cs="Arial"/>
                <w:b/>
                <w:color w:val="17365D"/>
                <w:sz w:val="24"/>
                <w:szCs w:val="24"/>
              </w:rPr>
              <w:t>Numeracy Performance</w:t>
            </w:r>
          </w:p>
          <w:p w:rsidR="00847C29" w:rsidRPr="00221244" w:rsidRDefault="00221244" w:rsidP="0015107A">
            <w:pPr>
              <w:pStyle w:val="BodyText3"/>
              <w:tabs>
                <w:tab w:val="center" w:pos="4320"/>
                <w:tab w:val="right" w:pos="8640"/>
              </w:tabs>
              <w:spacing w:after="120"/>
              <w:jc w:val="both"/>
              <w:rPr>
                <w:rFonts w:ascii="Arial" w:hAnsi="Arial" w:cs="Arial"/>
                <w:b/>
                <w:color w:val="17365D"/>
                <w:sz w:val="24"/>
                <w:szCs w:val="24"/>
              </w:rPr>
            </w:pPr>
            <w:r w:rsidRPr="00221244">
              <w:rPr>
                <w:rFonts w:ascii="Arial" w:hAnsi="Arial" w:cs="Arial"/>
                <w:b/>
                <w:color w:val="17365D"/>
                <w:sz w:val="24"/>
                <w:szCs w:val="24"/>
              </w:rPr>
              <w:t>Local Measures</w:t>
            </w:r>
          </w:p>
          <w:p w:rsidR="00221244" w:rsidRPr="00221244" w:rsidRDefault="00221244" w:rsidP="0015107A">
            <w:pPr>
              <w:pStyle w:val="BodyText3"/>
              <w:tabs>
                <w:tab w:val="center" w:pos="4320"/>
                <w:tab w:val="right" w:pos="8640"/>
              </w:tabs>
              <w:spacing w:after="120"/>
              <w:jc w:val="both"/>
              <w:rPr>
                <w:rFonts w:ascii="Arial" w:hAnsi="Arial" w:cs="Arial"/>
                <w:b/>
                <w:color w:val="17365D"/>
                <w:sz w:val="24"/>
                <w:szCs w:val="24"/>
              </w:rPr>
            </w:pPr>
          </w:p>
          <w:p w:rsidR="00221244" w:rsidRPr="00221244" w:rsidRDefault="00221244" w:rsidP="0015107A">
            <w:pPr>
              <w:pStyle w:val="BodyText3"/>
              <w:tabs>
                <w:tab w:val="center" w:pos="4320"/>
                <w:tab w:val="right" w:pos="8640"/>
              </w:tabs>
              <w:spacing w:after="120"/>
              <w:jc w:val="both"/>
              <w:rPr>
                <w:rFonts w:ascii="Arial" w:hAnsi="Arial" w:cs="Arial"/>
                <w:b/>
                <w:color w:val="17365D"/>
                <w:szCs w:val="28"/>
              </w:rPr>
            </w:pPr>
            <w:r w:rsidRPr="00221244">
              <w:rPr>
                <w:rFonts w:ascii="Arial" w:hAnsi="Arial" w:cs="Arial"/>
                <w:b/>
                <w:color w:val="17365D"/>
                <w:sz w:val="24"/>
                <w:szCs w:val="24"/>
              </w:rPr>
              <w:t>NAPLAN</w:t>
            </w:r>
          </w:p>
        </w:tc>
        <w:tc>
          <w:tcPr>
            <w:tcW w:w="11798" w:type="dxa"/>
          </w:tcPr>
          <w:p w:rsidR="001F396F" w:rsidRDefault="001F396F" w:rsidP="00221244">
            <w:pPr>
              <w:rPr>
                <w:rFonts w:ascii="Arial" w:hAnsi="Arial" w:cs="Arial"/>
                <w:b/>
                <w:color w:val="17365D"/>
                <w:sz w:val="24"/>
                <w:szCs w:val="24"/>
              </w:rPr>
            </w:pPr>
          </w:p>
          <w:p w:rsidR="00221244" w:rsidRPr="00221244" w:rsidRDefault="00221244" w:rsidP="00221244">
            <w:pPr>
              <w:rPr>
                <w:rFonts w:ascii="Arial" w:hAnsi="Arial" w:cs="Arial"/>
                <w:sz w:val="24"/>
                <w:szCs w:val="24"/>
              </w:rPr>
            </w:pPr>
            <w:r w:rsidRPr="00F96485">
              <w:rPr>
                <w:rFonts w:ascii="Arial" w:hAnsi="Arial" w:cs="Arial"/>
                <w:b/>
                <w:color w:val="17365D"/>
                <w:sz w:val="24"/>
                <w:szCs w:val="24"/>
              </w:rPr>
              <w:t>Numeracy Continuum: Performance against Local Measures</w:t>
            </w:r>
          </w:p>
          <w:p w:rsidR="00221244" w:rsidRPr="00221244" w:rsidRDefault="00221244" w:rsidP="00221244">
            <w:pPr>
              <w:rPr>
                <w:rFonts w:ascii="Arial" w:hAnsi="Arial" w:cs="Arial"/>
                <w:sz w:val="24"/>
                <w:szCs w:val="24"/>
              </w:rPr>
            </w:pPr>
          </w:p>
          <w:p w:rsidR="00221244" w:rsidRPr="00F96485" w:rsidRDefault="00221244" w:rsidP="005D2583">
            <w:pPr>
              <w:pStyle w:val="RRBodyText"/>
              <w:numPr>
                <w:ilvl w:val="0"/>
                <w:numId w:val="1"/>
              </w:numPr>
              <w:spacing w:before="0" w:line="240" w:lineRule="auto"/>
              <w:jc w:val="left"/>
              <w:rPr>
                <w:bCs w:val="0"/>
                <w:sz w:val="24"/>
                <w:szCs w:val="24"/>
              </w:rPr>
            </w:pPr>
            <w:r w:rsidRPr="00F96485">
              <w:rPr>
                <w:sz w:val="24"/>
                <w:szCs w:val="24"/>
              </w:rPr>
              <w:t>In 2013 31% of Year 7 students are ‘well below’ expectation on the Numeracy Continuum*</w:t>
            </w:r>
          </w:p>
          <w:p w:rsidR="00221244" w:rsidRPr="00F96485" w:rsidRDefault="00221244" w:rsidP="005D2583">
            <w:pPr>
              <w:pStyle w:val="RRBodyText"/>
              <w:numPr>
                <w:ilvl w:val="0"/>
                <w:numId w:val="1"/>
              </w:numPr>
              <w:spacing w:before="0" w:line="240" w:lineRule="auto"/>
              <w:jc w:val="left"/>
              <w:rPr>
                <w:bCs w:val="0"/>
                <w:sz w:val="24"/>
                <w:szCs w:val="24"/>
              </w:rPr>
            </w:pPr>
            <w:r w:rsidRPr="00F96485">
              <w:rPr>
                <w:sz w:val="24"/>
                <w:szCs w:val="24"/>
              </w:rPr>
              <w:t>In 2013 46% of Year 7 students are ‘below’ expectation on the Numeracy Continuum*</w:t>
            </w:r>
          </w:p>
          <w:p w:rsidR="00221244" w:rsidRPr="00F96485" w:rsidRDefault="00221244" w:rsidP="005D2583">
            <w:pPr>
              <w:pStyle w:val="RRBodyText"/>
              <w:numPr>
                <w:ilvl w:val="0"/>
                <w:numId w:val="1"/>
              </w:numPr>
              <w:spacing w:before="0" w:line="240" w:lineRule="auto"/>
              <w:jc w:val="left"/>
              <w:rPr>
                <w:bCs w:val="0"/>
                <w:sz w:val="24"/>
                <w:szCs w:val="24"/>
              </w:rPr>
            </w:pPr>
            <w:r w:rsidRPr="00F96485">
              <w:rPr>
                <w:sz w:val="24"/>
                <w:szCs w:val="24"/>
              </w:rPr>
              <w:t>In 2013 23% of Year 7 students are ‘at’ expectation on the Numeracy Continuum*</w:t>
            </w:r>
          </w:p>
          <w:p w:rsidR="00221244" w:rsidRDefault="00221244" w:rsidP="00221244">
            <w:pPr>
              <w:rPr>
                <w:rFonts w:ascii="Arial" w:hAnsi="Arial" w:cs="Arial"/>
                <w:sz w:val="24"/>
                <w:szCs w:val="24"/>
              </w:rPr>
            </w:pPr>
            <w:r w:rsidRPr="007C595F">
              <w:rPr>
                <w:rFonts w:ascii="Arial" w:hAnsi="Arial" w:cs="Arial"/>
                <w:sz w:val="24"/>
                <w:szCs w:val="24"/>
              </w:rPr>
              <w:t>*Numeracy Continuum- K-10 Early Arithmetical Strategies and Place Value.</w:t>
            </w:r>
          </w:p>
          <w:p w:rsidR="003C75F8" w:rsidRDefault="003C75F8" w:rsidP="00221244">
            <w:pPr>
              <w:rPr>
                <w:rFonts w:ascii="Arial" w:hAnsi="Arial" w:cs="Arial"/>
                <w:sz w:val="24"/>
                <w:szCs w:val="24"/>
              </w:rPr>
            </w:pPr>
          </w:p>
          <w:p w:rsidR="003C75F8" w:rsidRDefault="003C75F8" w:rsidP="003C75F8">
            <w:pPr>
              <w:rPr>
                <w:rFonts w:ascii="Arial" w:hAnsi="Arial" w:cs="Arial"/>
                <w:b/>
                <w:color w:val="17365D"/>
                <w:sz w:val="24"/>
                <w:szCs w:val="24"/>
              </w:rPr>
            </w:pPr>
            <w:r w:rsidRPr="00F96485">
              <w:rPr>
                <w:rFonts w:ascii="Arial" w:hAnsi="Arial" w:cs="Arial"/>
                <w:b/>
                <w:color w:val="17365D"/>
                <w:sz w:val="24"/>
                <w:szCs w:val="24"/>
              </w:rPr>
              <w:t>NAPLAN</w:t>
            </w:r>
            <w:r>
              <w:rPr>
                <w:rFonts w:ascii="Arial" w:hAnsi="Arial" w:cs="Arial"/>
                <w:b/>
                <w:color w:val="17365D"/>
                <w:sz w:val="24"/>
                <w:szCs w:val="24"/>
              </w:rPr>
              <w:t xml:space="preserve"> </w:t>
            </w:r>
            <w:r w:rsidR="001D0B73">
              <w:rPr>
                <w:rFonts w:ascii="Arial" w:hAnsi="Arial" w:cs="Arial"/>
                <w:b/>
                <w:color w:val="17365D"/>
                <w:sz w:val="24"/>
                <w:szCs w:val="24"/>
              </w:rPr>
              <w:t xml:space="preserve">Numeracy </w:t>
            </w:r>
            <w:r>
              <w:rPr>
                <w:rFonts w:ascii="Arial" w:hAnsi="Arial" w:cs="Arial"/>
                <w:b/>
                <w:color w:val="17365D"/>
                <w:sz w:val="24"/>
                <w:szCs w:val="24"/>
              </w:rPr>
              <w:t>2013- Year 7 Students- Target Group</w:t>
            </w:r>
          </w:p>
          <w:p w:rsidR="005D2583" w:rsidRPr="005D2583" w:rsidRDefault="00061ACB" w:rsidP="005D2583">
            <w:pPr>
              <w:pStyle w:val="RRBodyText"/>
              <w:numPr>
                <w:ilvl w:val="0"/>
                <w:numId w:val="1"/>
              </w:numPr>
              <w:spacing w:before="0" w:after="80"/>
              <w:jc w:val="left"/>
              <w:rPr>
                <w:bCs w:val="0"/>
                <w:sz w:val="24"/>
                <w:szCs w:val="24"/>
              </w:rPr>
            </w:pPr>
            <w:r w:rsidRPr="001D0B73">
              <w:rPr>
                <w:bCs w:val="0"/>
                <w:sz w:val="24"/>
                <w:szCs w:val="24"/>
              </w:rPr>
              <w:t>In 2012, 78% of Year 7 students achieved numeracy results which were placed in Bands 4 and 5, the lowest two bands. In 2013, 73.3% of Year 7 students achieved numeracy results which were placed in Bands 4 and 5. The gap in Bands 4 and 5 results for CCDC compared with SSG was reduced by 3.6% between 2012 and 2013.</w:t>
            </w:r>
          </w:p>
          <w:p w:rsidR="00061ACB" w:rsidRPr="00061ACB" w:rsidRDefault="00061ACB" w:rsidP="003C75F8">
            <w:pPr>
              <w:pStyle w:val="RRBodyText"/>
              <w:numPr>
                <w:ilvl w:val="0"/>
                <w:numId w:val="1"/>
              </w:numPr>
              <w:spacing w:before="0" w:after="80"/>
              <w:jc w:val="left"/>
              <w:rPr>
                <w:bCs w:val="0"/>
                <w:sz w:val="24"/>
                <w:szCs w:val="24"/>
              </w:rPr>
            </w:pPr>
            <w:r w:rsidRPr="001D0B73">
              <w:rPr>
                <w:bCs w:val="0"/>
                <w:sz w:val="24"/>
                <w:szCs w:val="24"/>
              </w:rPr>
              <w:t>The highest band achieved by students at CCDC in Year 7 numeracy was Band 7 in 2012 and 2013. There was an increase in Band 7 results during this time, from 3.4% in 2012 to 8.9% in 2013.</w:t>
            </w:r>
          </w:p>
          <w:p w:rsidR="003C75F8" w:rsidRDefault="00061ACB" w:rsidP="003C75F8">
            <w:pPr>
              <w:pStyle w:val="RRBodyText"/>
              <w:numPr>
                <w:ilvl w:val="0"/>
                <w:numId w:val="1"/>
              </w:numPr>
              <w:spacing w:before="0" w:after="80"/>
              <w:jc w:val="left"/>
              <w:rPr>
                <w:bCs w:val="0"/>
                <w:sz w:val="24"/>
                <w:szCs w:val="24"/>
              </w:rPr>
            </w:pPr>
            <w:r w:rsidRPr="001D0B73">
              <w:rPr>
                <w:bCs w:val="0"/>
                <w:sz w:val="24"/>
                <w:szCs w:val="24"/>
              </w:rPr>
              <w:lastRenderedPageBreak/>
              <w:t>There was a decline in the proportion of students achieving expected growth in Year 7 numeracy from 33.3% in 2012 to 27.5% in 2013.</w:t>
            </w:r>
          </w:p>
          <w:p w:rsidR="001F396F" w:rsidRPr="00F96485" w:rsidRDefault="001F396F" w:rsidP="001F396F">
            <w:pPr>
              <w:pStyle w:val="RRBodyText"/>
              <w:spacing w:before="0" w:after="80"/>
              <w:ind w:left="360"/>
              <w:jc w:val="left"/>
              <w:rPr>
                <w:bCs w:val="0"/>
                <w:sz w:val="24"/>
                <w:szCs w:val="24"/>
              </w:rPr>
            </w:pPr>
          </w:p>
          <w:p w:rsidR="00B66721" w:rsidRPr="00CA7B30" w:rsidRDefault="00B66721" w:rsidP="00B66721">
            <w:pPr>
              <w:rPr>
                <w:rFonts w:ascii="Arial" w:hAnsi="Arial" w:cs="Arial"/>
                <w:bCs/>
                <w:sz w:val="24"/>
                <w:szCs w:val="24"/>
              </w:rPr>
            </w:pPr>
            <w:r w:rsidRPr="00317766">
              <w:rPr>
                <w:rFonts w:ascii="Arial" w:hAnsi="Arial" w:cs="Arial"/>
                <w:b/>
                <w:color w:val="17365D"/>
                <w:sz w:val="24"/>
                <w:szCs w:val="24"/>
              </w:rPr>
              <w:t>NAPLAN</w:t>
            </w:r>
            <w:r w:rsidR="001D0B73" w:rsidRPr="00CA7B30">
              <w:rPr>
                <w:rFonts w:ascii="Arial" w:hAnsi="Arial" w:cs="Arial"/>
                <w:bCs/>
                <w:sz w:val="24"/>
                <w:szCs w:val="24"/>
              </w:rPr>
              <w:t xml:space="preserve"> </w:t>
            </w:r>
            <w:r w:rsidR="001D0B73" w:rsidRPr="00317766">
              <w:rPr>
                <w:rFonts w:ascii="Arial" w:hAnsi="Arial" w:cs="Arial"/>
                <w:b/>
                <w:color w:val="17365D"/>
                <w:sz w:val="24"/>
                <w:szCs w:val="24"/>
              </w:rPr>
              <w:t>Numeracy</w:t>
            </w:r>
            <w:r w:rsidR="0050252C" w:rsidRPr="00317766">
              <w:rPr>
                <w:rFonts w:ascii="Arial" w:hAnsi="Arial" w:cs="Arial"/>
                <w:b/>
                <w:color w:val="17365D"/>
                <w:sz w:val="24"/>
                <w:szCs w:val="24"/>
              </w:rPr>
              <w:t>- 2012 and 2013</w:t>
            </w:r>
            <w:r w:rsidR="003D536D" w:rsidRPr="00317766">
              <w:rPr>
                <w:rFonts w:ascii="Arial" w:hAnsi="Arial" w:cs="Arial"/>
                <w:b/>
                <w:color w:val="17365D"/>
                <w:sz w:val="24"/>
                <w:szCs w:val="24"/>
              </w:rPr>
              <w:t>- Year 9 Students</w:t>
            </w:r>
          </w:p>
          <w:p w:rsidR="006B1658" w:rsidRPr="006B1658" w:rsidRDefault="00061ACB" w:rsidP="00B66721">
            <w:pPr>
              <w:pStyle w:val="RRBodyText"/>
              <w:numPr>
                <w:ilvl w:val="0"/>
                <w:numId w:val="1"/>
              </w:numPr>
              <w:spacing w:before="0" w:after="80"/>
              <w:jc w:val="left"/>
              <w:rPr>
                <w:sz w:val="24"/>
                <w:szCs w:val="24"/>
              </w:rPr>
            </w:pPr>
            <w:r w:rsidRPr="00CA7B30">
              <w:rPr>
                <w:sz w:val="24"/>
                <w:szCs w:val="24"/>
              </w:rPr>
              <w:t>In 2012, 29.8% of Year 9 students achieved numeracy results which were placed in Band 5, the lowest band. In 2013, 35.3% of Year 9 students achieved numeracy results which were placed in Band 5. The increase of 5.5% was slightly higher than an overall increase across the state of 4.0%. On a positive note, the gap in Band 5 results</w:t>
            </w:r>
            <w:r w:rsidR="00CA7B30">
              <w:rPr>
                <w:sz w:val="24"/>
                <w:szCs w:val="24"/>
              </w:rPr>
              <w:t xml:space="preserve"> for CCDC compared with SSG was</w:t>
            </w:r>
            <w:r w:rsidRPr="00CA7B30">
              <w:rPr>
                <w:sz w:val="24"/>
                <w:szCs w:val="24"/>
              </w:rPr>
              <w:t xml:space="preserve"> reduced by 4.8%.</w:t>
            </w:r>
          </w:p>
          <w:p w:rsidR="001D0B73" w:rsidRDefault="00061ACB" w:rsidP="001D0B73">
            <w:pPr>
              <w:pStyle w:val="RRBodyText"/>
              <w:numPr>
                <w:ilvl w:val="0"/>
                <w:numId w:val="1"/>
              </w:numPr>
              <w:spacing w:before="0" w:after="80"/>
              <w:jc w:val="left"/>
              <w:rPr>
                <w:sz w:val="24"/>
                <w:szCs w:val="24"/>
              </w:rPr>
            </w:pPr>
            <w:r w:rsidRPr="00CA7B30">
              <w:rPr>
                <w:sz w:val="24"/>
                <w:szCs w:val="24"/>
              </w:rPr>
              <w:t>In 2012, 4.3% of students achieved results which were placed in Band 8, with no students achieving results in the highest two bands, Bands 9 and 10. In 2013, 7.8% of students achieved results which were placed in Bands 8 and 9 and none in Band 10. The gap between CCDC and SSG for the top 3 skill bands was reduced from 13.8% in 2012 to 7.4% in 2013.</w:t>
            </w:r>
          </w:p>
          <w:p w:rsidR="001F396F" w:rsidRDefault="001F396F" w:rsidP="001F396F">
            <w:pPr>
              <w:pStyle w:val="RRBodyText"/>
              <w:spacing w:before="0" w:after="80"/>
              <w:ind w:left="360"/>
              <w:jc w:val="left"/>
              <w:rPr>
                <w:sz w:val="24"/>
                <w:szCs w:val="24"/>
              </w:rPr>
            </w:pPr>
          </w:p>
          <w:p w:rsidR="001D0B73" w:rsidRPr="001D0B73" w:rsidRDefault="001D0B73" w:rsidP="001D0B73">
            <w:pPr>
              <w:pStyle w:val="RRBodyText"/>
              <w:spacing w:before="0" w:after="80"/>
              <w:jc w:val="left"/>
              <w:rPr>
                <w:sz w:val="24"/>
                <w:szCs w:val="24"/>
              </w:rPr>
            </w:pPr>
            <w:r w:rsidRPr="001D0B73">
              <w:rPr>
                <w:b/>
                <w:bCs w:val="0"/>
                <w:color w:val="17365D"/>
                <w:sz w:val="24"/>
                <w:szCs w:val="24"/>
              </w:rPr>
              <w:t>NAPLAN Numeracy- as reported in 2012 National Partnership Evaluation Report</w:t>
            </w:r>
          </w:p>
          <w:p w:rsidR="001D0B73" w:rsidRPr="00F96485" w:rsidRDefault="001D0B73" w:rsidP="001D0B73">
            <w:pPr>
              <w:pStyle w:val="RRBodyText"/>
              <w:numPr>
                <w:ilvl w:val="0"/>
                <w:numId w:val="1"/>
              </w:numPr>
              <w:spacing w:before="0" w:after="80"/>
              <w:jc w:val="left"/>
              <w:rPr>
                <w:bCs w:val="0"/>
                <w:sz w:val="24"/>
                <w:szCs w:val="24"/>
              </w:rPr>
            </w:pPr>
            <w:r w:rsidRPr="00F96485">
              <w:rPr>
                <w:sz w:val="24"/>
                <w:szCs w:val="24"/>
              </w:rPr>
              <w:t xml:space="preserve">In 2011 42.6% of students were in Band 5. </w:t>
            </w:r>
            <w:r>
              <w:rPr>
                <w:sz w:val="24"/>
                <w:szCs w:val="24"/>
              </w:rPr>
              <w:t xml:space="preserve">In 2012 this </w:t>
            </w:r>
            <w:r w:rsidRPr="00F96485">
              <w:rPr>
                <w:sz w:val="24"/>
                <w:szCs w:val="24"/>
              </w:rPr>
              <w:t>reduced to 29.8% of students in Band 5. In 2011 the gap between CCDC</w:t>
            </w:r>
            <w:r>
              <w:rPr>
                <w:sz w:val="24"/>
                <w:szCs w:val="24"/>
              </w:rPr>
              <w:t xml:space="preserve"> and SSG was 22.5% and was </w:t>
            </w:r>
            <w:r w:rsidRPr="00F96485">
              <w:rPr>
                <w:sz w:val="24"/>
                <w:szCs w:val="24"/>
              </w:rPr>
              <w:t>reduced in 2012 to 15.2%.</w:t>
            </w:r>
          </w:p>
          <w:p w:rsidR="001D0B73" w:rsidRPr="001D0B73" w:rsidRDefault="001D0B73" w:rsidP="001D0B73">
            <w:pPr>
              <w:pStyle w:val="RRBodyText"/>
              <w:numPr>
                <w:ilvl w:val="0"/>
                <w:numId w:val="1"/>
              </w:numPr>
              <w:spacing w:before="0" w:after="80"/>
              <w:jc w:val="left"/>
              <w:rPr>
                <w:bCs w:val="0"/>
                <w:sz w:val="24"/>
                <w:szCs w:val="24"/>
              </w:rPr>
            </w:pPr>
            <w:r w:rsidRPr="00F96485">
              <w:rPr>
                <w:sz w:val="24"/>
                <w:szCs w:val="24"/>
              </w:rPr>
              <w:t>In 2011 3.3% of students were in Bands 8 and 9.</w:t>
            </w:r>
            <w:r>
              <w:rPr>
                <w:sz w:val="24"/>
                <w:szCs w:val="24"/>
              </w:rPr>
              <w:t xml:space="preserve"> In 2012 4.3% of students were</w:t>
            </w:r>
            <w:r w:rsidRPr="00F96485">
              <w:rPr>
                <w:sz w:val="24"/>
                <w:szCs w:val="24"/>
              </w:rPr>
              <w:t xml:space="preserve"> in Band 8. In 2011 the gap between CCDC</w:t>
            </w:r>
            <w:r>
              <w:rPr>
                <w:sz w:val="24"/>
                <w:szCs w:val="24"/>
              </w:rPr>
              <w:t xml:space="preserve"> and SSG was 16.7% and was </w:t>
            </w:r>
            <w:r w:rsidRPr="00F96485">
              <w:rPr>
                <w:sz w:val="24"/>
                <w:szCs w:val="24"/>
              </w:rPr>
              <w:t>reduced in 2012 to 13.8%.</w:t>
            </w:r>
          </w:p>
          <w:p w:rsidR="00847C29" w:rsidRPr="007C595F" w:rsidRDefault="00847C29" w:rsidP="0015107A">
            <w:pPr>
              <w:pStyle w:val="BodyText3"/>
              <w:tabs>
                <w:tab w:val="center" w:pos="4320"/>
                <w:tab w:val="right" w:pos="8640"/>
              </w:tabs>
              <w:spacing w:after="120"/>
              <w:jc w:val="both"/>
              <w:rPr>
                <w:rFonts w:ascii="Arial" w:hAnsi="Arial" w:cs="Arial"/>
                <w:sz w:val="24"/>
                <w:szCs w:val="24"/>
              </w:rPr>
            </w:pPr>
          </w:p>
        </w:tc>
      </w:tr>
      <w:tr w:rsidR="00847C29" w:rsidTr="00847C29">
        <w:tc>
          <w:tcPr>
            <w:tcW w:w="2376" w:type="dxa"/>
          </w:tcPr>
          <w:p w:rsidR="00847C29" w:rsidRDefault="00847C29" w:rsidP="0015107A">
            <w:pPr>
              <w:pStyle w:val="BodyText3"/>
              <w:tabs>
                <w:tab w:val="center" w:pos="4320"/>
                <w:tab w:val="right" w:pos="8640"/>
              </w:tabs>
              <w:spacing w:after="120"/>
              <w:jc w:val="both"/>
              <w:rPr>
                <w:rFonts w:ascii="Arial" w:hAnsi="Arial" w:cs="Arial"/>
                <w:b/>
                <w:color w:val="17365D"/>
                <w:sz w:val="22"/>
                <w:szCs w:val="22"/>
              </w:rPr>
            </w:pPr>
          </w:p>
          <w:p w:rsidR="00847C29" w:rsidRPr="00221244" w:rsidRDefault="0014161D" w:rsidP="0014161D">
            <w:pPr>
              <w:pStyle w:val="BodyText3"/>
              <w:tabs>
                <w:tab w:val="center" w:pos="4320"/>
                <w:tab w:val="right" w:pos="8640"/>
              </w:tabs>
              <w:spacing w:after="120"/>
              <w:rPr>
                <w:rFonts w:ascii="Arial" w:hAnsi="Arial" w:cs="Arial"/>
                <w:b/>
                <w:color w:val="17365D"/>
                <w:sz w:val="24"/>
                <w:szCs w:val="24"/>
              </w:rPr>
            </w:pPr>
            <w:r w:rsidRPr="00221244">
              <w:rPr>
                <w:rFonts w:ascii="Arial" w:hAnsi="Arial" w:cs="Arial"/>
                <w:b/>
                <w:color w:val="17365D"/>
                <w:sz w:val="24"/>
                <w:szCs w:val="24"/>
              </w:rPr>
              <w:t>Improving Literacy and Numeracy National Partnership Focus</w:t>
            </w:r>
          </w:p>
          <w:p w:rsidR="00847C29" w:rsidRDefault="00847C29" w:rsidP="0015107A">
            <w:pPr>
              <w:pStyle w:val="BodyText3"/>
              <w:tabs>
                <w:tab w:val="center" w:pos="4320"/>
                <w:tab w:val="right" w:pos="8640"/>
              </w:tabs>
              <w:spacing w:after="120"/>
              <w:jc w:val="both"/>
              <w:rPr>
                <w:rFonts w:ascii="Arial" w:hAnsi="Arial" w:cs="Arial"/>
                <w:b/>
                <w:color w:val="17365D"/>
                <w:sz w:val="22"/>
                <w:szCs w:val="22"/>
              </w:rPr>
            </w:pPr>
          </w:p>
        </w:tc>
        <w:tc>
          <w:tcPr>
            <w:tcW w:w="11798" w:type="dxa"/>
          </w:tcPr>
          <w:p w:rsidR="001F396F" w:rsidRPr="001F396F" w:rsidRDefault="0014161D" w:rsidP="0015107A">
            <w:pPr>
              <w:pStyle w:val="BodyText3"/>
              <w:tabs>
                <w:tab w:val="center" w:pos="4320"/>
                <w:tab w:val="right" w:pos="8640"/>
              </w:tabs>
              <w:spacing w:after="120"/>
              <w:jc w:val="both"/>
              <w:rPr>
                <w:rFonts w:ascii="Arial" w:hAnsi="Arial" w:cs="Arial"/>
                <w:sz w:val="24"/>
                <w:szCs w:val="24"/>
              </w:rPr>
            </w:pPr>
            <w:r w:rsidRPr="0014161D">
              <w:rPr>
                <w:rFonts w:ascii="Arial" w:hAnsi="Arial" w:cs="Arial"/>
                <w:sz w:val="24"/>
                <w:szCs w:val="24"/>
              </w:rPr>
              <w:t>The focus for the I</w:t>
            </w:r>
            <w:r w:rsidR="00857D32">
              <w:rPr>
                <w:rFonts w:ascii="Arial" w:hAnsi="Arial" w:cs="Arial"/>
                <w:sz w:val="24"/>
                <w:szCs w:val="24"/>
              </w:rPr>
              <w:t>mproving Literacy and Numeracy N</w:t>
            </w:r>
            <w:r w:rsidRPr="0014161D">
              <w:rPr>
                <w:rFonts w:ascii="Arial" w:hAnsi="Arial" w:cs="Arial"/>
                <w:sz w:val="24"/>
                <w:szCs w:val="24"/>
              </w:rPr>
              <w:t>ation</w:t>
            </w:r>
            <w:r w:rsidR="00F96485">
              <w:rPr>
                <w:rFonts w:ascii="Arial" w:hAnsi="Arial" w:cs="Arial"/>
                <w:sz w:val="24"/>
                <w:szCs w:val="24"/>
              </w:rPr>
              <w:t>al Partnership (ILNNP) will be n</w:t>
            </w:r>
            <w:r w:rsidRPr="0014161D">
              <w:rPr>
                <w:rFonts w:ascii="Arial" w:hAnsi="Arial" w:cs="Arial"/>
                <w:sz w:val="24"/>
                <w:szCs w:val="24"/>
              </w:rPr>
              <w:t>umeracy. In 2013/2014 the school will use resources provided by the Improving Literacy and Numeracy Partnership to imple</w:t>
            </w:r>
            <w:r w:rsidR="00875B9A">
              <w:rPr>
                <w:rFonts w:ascii="Arial" w:hAnsi="Arial" w:cs="Arial"/>
                <w:sz w:val="24"/>
                <w:szCs w:val="24"/>
              </w:rPr>
              <w:t xml:space="preserve">ment the numeracy continuum, refine and </w:t>
            </w:r>
            <w:r w:rsidRPr="0014161D">
              <w:rPr>
                <w:rFonts w:ascii="Arial" w:hAnsi="Arial" w:cs="Arial"/>
                <w:sz w:val="24"/>
                <w:szCs w:val="24"/>
              </w:rPr>
              <w:t>consolidate a school-wide approach to numeracy. The target group will be Year 7 (45 students) and efforts will focus on lifting the numeracy performance of students “well below” expectation on the continuum as well as consolidating and improving the performance of students “well above, above and at” expectation.</w:t>
            </w:r>
            <w:r w:rsidR="005C3AF2">
              <w:rPr>
                <w:rFonts w:ascii="Arial" w:hAnsi="Arial" w:cs="Arial"/>
                <w:sz w:val="24"/>
                <w:szCs w:val="24"/>
              </w:rPr>
              <w:t xml:space="preserve"> Prof</w:t>
            </w:r>
            <w:r>
              <w:rPr>
                <w:rFonts w:ascii="Arial" w:hAnsi="Arial" w:cs="Arial"/>
                <w:sz w:val="24"/>
                <w:szCs w:val="24"/>
              </w:rPr>
              <w:t xml:space="preserve">essional learning to increase </w:t>
            </w:r>
            <w:r w:rsidR="005C3AF2">
              <w:rPr>
                <w:rFonts w:ascii="Arial" w:hAnsi="Arial" w:cs="Arial"/>
                <w:sz w:val="24"/>
                <w:szCs w:val="24"/>
              </w:rPr>
              <w:t xml:space="preserve">staff confidence in implementing the numeracy continuum is a key strategy. Funding will also ensure ongoing professional learning in Counting-On strategies for identified staff members. School Plan targets in </w:t>
            </w:r>
            <w:r w:rsidR="00F96485">
              <w:rPr>
                <w:rFonts w:ascii="Arial" w:hAnsi="Arial" w:cs="Arial"/>
                <w:sz w:val="24"/>
                <w:szCs w:val="24"/>
              </w:rPr>
              <w:t>n</w:t>
            </w:r>
            <w:r w:rsidR="007C7D63">
              <w:rPr>
                <w:rFonts w:ascii="Arial" w:hAnsi="Arial" w:cs="Arial"/>
                <w:sz w:val="24"/>
                <w:szCs w:val="24"/>
              </w:rPr>
              <w:t>umeracy will remain unchanged;</w:t>
            </w:r>
            <w:r w:rsidR="005C3AF2">
              <w:rPr>
                <w:rFonts w:ascii="Arial" w:hAnsi="Arial" w:cs="Arial"/>
                <w:sz w:val="24"/>
                <w:szCs w:val="24"/>
              </w:rPr>
              <w:t xml:space="preserve"> however, additional ILNNP targets specific to the target group will be added.</w:t>
            </w:r>
          </w:p>
        </w:tc>
      </w:tr>
      <w:tr w:rsidR="009D090B" w:rsidTr="00847C29">
        <w:tc>
          <w:tcPr>
            <w:tcW w:w="2376" w:type="dxa"/>
          </w:tcPr>
          <w:p w:rsidR="001F396F" w:rsidRDefault="001F396F" w:rsidP="009D090B">
            <w:pPr>
              <w:pStyle w:val="BodyText3"/>
              <w:tabs>
                <w:tab w:val="center" w:pos="4320"/>
                <w:tab w:val="right" w:pos="8640"/>
              </w:tabs>
              <w:spacing w:after="120"/>
              <w:rPr>
                <w:rFonts w:ascii="Arial" w:hAnsi="Arial" w:cs="Arial"/>
                <w:b/>
                <w:color w:val="17365D"/>
                <w:sz w:val="24"/>
                <w:szCs w:val="24"/>
              </w:rPr>
            </w:pPr>
          </w:p>
          <w:p w:rsidR="009D090B" w:rsidRPr="00221244" w:rsidRDefault="009D090B" w:rsidP="009D090B">
            <w:pPr>
              <w:pStyle w:val="BodyText3"/>
              <w:tabs>
                <w:tab w:val="center" w:pos="4320"/>
                <w:tab w:val="right" w:pos="8640"/>
              </w:tabs>
              <w:spacing w:after="120"/>
              <w:rPr>
                <w:rFonts w:ascii="Arial" w:hAnsi="Arial" w:cs="Arial"/>
                <w:b/>
                <w:color w:val="17365D"/>
                <w:sz w:val="24"/>
                <w:szCs w:val="24"/>
              </w:rPr>
            </w:pPr>
            <w:r w:rsidRPr="00221244">
              <w:rPr>
                <w:rFonts w:ascii="Arial" w:hAnsi="Arial" w:cs="Arial"/>
                <w:b/>
                <w:color w:val="17365D"/>
                <w:sz w:val="24"/>
                <w:szCs w:val="24"/>
              </w:rPr>
              <w:t>Improving Literacy and Numeracy National Partnership Actions</w:t>
            </w:r>
          </w:p>
        </w:tc>
        <w:tc>
          <w:tcPr>
            <w:tcW w:w="11798" w:type="dxa"/>
          </w:tcPr>
          <w:p w:rsidR="001F396F" w:rsidRDefault="001F396F" w:rsidP="00784833">
            <w:pPr>
              <w:pStyle w:val="BodyText3"/>
              <w:tabs>
                <w:tab w:val="center" w:pos="4320"/>
                <w:tab w:val="right" w:pos="8640"/>
              </w:tabs>
              <w:spacing w:after="120"/>
              <w:jc w:val="both"/>
              <w:rPr>
                <w:rFonts w:ascii="Arial" w:hAnsi="Arial" w:cs="Arial"/>
                <w:b/>
                <w:color w:val="17365D"/>
                <w:sz w:val="24"/>
                <w:szCs w:val="24"/>
              </w:rPr>
            </w:pPr>
          </w:p>
          <w:p w:rsidR="00784833" w:rsidRPr="001F396F" w:rsidRDefault="009D090B" w:rsidP="00784833">
            <w:pPr>
              <w:pStyle w:val="BodyText3"/>
              <w:tabs>
                <w:tab w:val="center" w:pos="4320"/>
                <w:tab w:val="right" w:pos="8640"/>
              </w:tabs>
              <w:spacing w:after="120"/>
              <w:jc w:val="both"/>
              <w:rPr>
                <w:rFonts w:ascii="Arial" w:hAnsi="Arial" w:cs="Arial"/>
                <w:b/>
                <w:color w:val="17365D"/>
                <w:sz w:val="24"/>
                <w:szCs w:val="24"/>
              </w:rPr>
            </w:pPr>
            <w:r w:rsidRPr="001F396F">
              <w:rPr>
                <w:rFonts w:ascii="Arial" w:hAnsi="Arial" w:cs="Arial"/>
                <w:b/>
                <w:color w:val="17365D"/>
                <w:sz w:val="24"/>
                <w:szCs w:val="24"/>
              </w:rPr>
              <w:t>School actions over 2013 and 2014 will include:</w:t>
            </w:r>
          </w:p>
          <w:p w:rsidR="00784833" w:rsidRDefault="00784833" w:rsidP="00784833">
            <w:pPr>
              <w:pStyle w:val="RRBodyText"/>
              <w:numPr>
                <w:ilvl w:val="0"/>
                <w:numId w:val="1"/>
              </w:numPr>
              <w:spacing w:before="0" w:after="80"/>
              <w:jc w:val="left"/>
              <w:rPr>
                <w:sz w:val="24"/>
                <w:szCs w:val="24"/>
              </w:rPr>
            </w:pPr>
            <w:r w:rsidRPr="00BD3D59">
              <w:rPr>
                <w:sz w:val="24"/>
                <w:szCs w:val="24"/>
              </w:rPr>
              <w:t>Refine and consolidate whole-school approach to numeracy. This will occur in a 4 Phase planning cycle: Assessment, Familiarisation, Tailoring and Sustainability. The partnership will be led by the Principal, Deputy Principals and HTs Teaching and Learning.</w:t>
            </w:r>
          </w:p>
          <w:p w:rsidR="00857D32" w:rsidRDefault="00B66721" w:rsidP="00B66721">
            <w:pPr>
              <w:pStyle w:val="RRBodyText"/>
              <w:numPr>
                <w:ilvl w:val="0"/>
                <w:numId w:val="1"/>
              </w:numPr>
              <w:spacing w:before="0" w:after="80"/>
              <w:jc w:val="left"/>
              <w:rPr>
                <w:sz w:val="24"/>
                <w:szCs w:val="24"/>
              </w:rPr>
            </w:pPr>
            <w:r w:rsidRPr="00BD3D59">
              <w:rPr>
                <w:sz w:val="24"/>
                <w:szCs w:val="24"/>
              </w:rPr>
              <w:t xml:space="preserve">Consultant partner </w:t>
            </w:r>
            <w:r w:rsidR="00E8564D" w:rsidRPr="00BD3D59">
              <w:rPr>
                <w:sz w:val="24"/>
                <w:szCs w:val="24"/>
              </w:rPr>
              <w:t>to work with each KLA as critical friend to provide in-faculty support</w:t>
            </w:r>
            <w:r w:rsidR="00857D32">
              <w:rPr>
                <w:sz w:val="24"/>
                <w:szCs w:val="24"/>
              </w:rPr>
              <w:t>: o</w:t>
            </w:r>
            <w:r w:rsidR="00E8564D" w:rsidRPr="00BD3D59">
              <w:rPr>
                <w:sz w:val="24"/>
                <w:szCs w:val="24"/>
              </w:rPr>
              <w:t>bserve lessons, study programs and discuss organic numeracy teaching moments and opportunities, as well as develop numeracy teaching toolkits.</w:t>
            </w:r>
            <w:r w:rsidR="00857D32">
              <w:rPr>
                <w:sz w:val="24"/>
                <w:szCs w:val="24"/>
              </w:rPr>
              <w:t xml:space="preserve"> </w:t>
            </w:r>
          </w:p>
          <w:p w:rsidR="00B66721" w:rsidRDefault="00857D32" w:rsidP="00B66721">
            <w:pPr>
              <w:pStyle w:val="RRBodyText"/>
              <w:numPr>
                <w:ilvl w:val="0"/>
                <w:numId w:val="1"/>
              </w:numPr>
              <w:spacing w:before="0" w:after="80"/>
              <w:jc w:val="left"/>
              <w:rPr>
                <w:sz w:val="24"/>
                <w:szCs w:val="24"/>
              </w:rPr>
            </w:pPr>
            <w:r>
              <w:rPr>
                <w:sz w:val="24"/>
                <w:szCs w:val="24"/>
              </w:rPr>
              <w:t>Allocation of funding</w:t>
            </w:r>
            <w:r w:rsidR="00493523" w:rsidRPr="00BD3D59">
              <w:rPr>
                <w:sz w:val="24"/>
                <w:szCs w:val="24"/>
              </w:rPr>
              <w:t xml:space="preserve"> to purchase numeracy resources and </w:t>
            </w:r>
            <w:r w:rsidR="00C5534E" w:rsidRPr="00BD3D59">
              <w:rPr>
                <w:sz w:val="24"/>
                <w:szCs w:val="24"/>
              </w:rPr>
              <w:t>SASS support to facilitate the creation of resources for faculty toolkits.</w:t>
            </w:r>
          </w:p>
          <w:p w:rsidR="00552F5C" w:rsidRPr="001D0B73" w:rsidRDefault="00875B9A" w:rsidP="001D0B73">
            <w:pPr>
              <w:pStyle w:val="RRBodyText"/>
              <w:numPr>
                <w:ilvl w:val="0"/>
                <w:numId w:val="1"/>
              </w:numPr>
              <w:spacing w:before="0" w:after="80"/>
              <w:jc w:val="left"/>
              <w:rPr>
                <w:sz w:val="24"/>
                <w:szCs w:val="24"/>
              </w:rPr>
            </w:pPr>
            <w:r>
              <w:rPr>
                <w:sz w:val="24"/>
                <w:szCs w:val="24"/>
              </w:rPr>
              <w:t>Provide ongoing professional learning</w:t>
            </w:r>
            <w:r w:rsidR="00E8564D" w:rsidRPr="00BD3D59">
              <w:rPr>
                <w:sz w:val="24"/>
                <w:szCs w:val="24"/>
              </w:rPr>
              <w:t xml:space="preserve"> to enhance staff members</w:t>
            </w:r>
            <w:r w:rsidR="00590A5C" w:rsidRPr="00BD3D59">
              <w:rPr>
                <w:sz w:val="24"/>
                <w:szCs w:val="24"/>
              </w:rPr>
              <w:t>’</w:t>
            </w:r>
            <w:r w:rsidR="00E8564D" w:rsidRPr="00BD3D59">
              <w:rPr>
                <w:sz w:val="24"/>
                <w:szCs w:val="24"/>
              </w:rPr>
              <w:t xml:space="preserve"> ability and confidence in using the Numeracy C</w:t>
            </w:r>
            <w:r w:rsidR="00552F5C" w:rsidRPr="00BD3D59">
              <w:rPr>
                <w:sz w:val="24"/>
                <w:szCs w:val="24"/>
              </w:rPr>
              <w:t>ontinuum as well as linking the c</w:t>
            </w:r>
            <w:r w:rsidR="00E8564D" w:rsidRPr="00BD3D59">
              <w:rPr>
                <w:sz w:val="24"/>
                <w:szCs w:val="24"/>
              </w:rPr>
              <w:t xml:space="preserve">ontinuum to the NAPLAN exam, </w:t>
            </w:r>
            <w:r w:rsidR="00552F5C" w:rsidRPr="00BD3D59">
              <w:rPr>
                <w:sz w:val="24"/>
                <w:szCs w:val="24"/>
              </w:rPr>
              <w:t>the numeracy in their KLA programs</w:t>
            </w:r>
            <w:r w:rsidR="00E8564D" w:rsidRPr="00BD3D59">
              <w:rPr>
                <w:sz w:val="24"/>
                <w:szCs w:val="24"/>
              </w:rPr>
              <w:t xml:space="preserve"> and apply strategies in their teaching</w:t>
            </w:r>
            <w:r w:rsidR="00552F5C" w:rsidRPr="00BD3D59">
              <w:rPr>
                <w:sz w:val="24"/>
                <w:szCs w:val="24"/>
              </w:rPr>
              <w:t>.</w:t>
            </w:r>
            <w:r>
              <w:rPr>
                <w:sz w:val="24"/>
                <w:szCs w:val="24"/>
              </w:rPr>
              <w:t xml:space="preserve"> The professional learning </w:t>
            </w:r>
            <w:r w:rsidR="001D0B73">
              <w:rPr>
                <w:sz w:val="24"/>
                <w:szCs w:val="24"/>
              </w:rPr>
              <w:t xml:space="preserve">includes a variety of modes such as </w:t>
            </w:r>
            <w:r w:rsidR="001D0B73" w:rsidRPr="001D0B73">
              <w:rPr>
                <w:sz w:val="24"/>
                <w:szCs w:val="24"/>
              </w:rPr>
              <w:t>in-school events, mentoring through critical friend, online courses, external courses, staff meetings, Community of Schools events.</w:t>
            </w:r>
          </w:p>
          <w:p w:rsidR="00784833" w:rsidRPr="00BD3D59" w:rsidRDefault="00784833" w:rsidP="00552F5C">
            <w:pPr>
              <w:pStyle w:val="RRBodyText"/>
              <w:numPr>
                <w:ilvl w:val="0"/>
                <w:numId w:val="1"/>
              </w:numPr>
              <w:spacing w:before="0" w:after="80"/>
              <w:jc w:val="left"/>
              <w:rPr>
                <w:sz w:val="24"/>
                <w:szCs w:val="24"/>
              </w:rPr>
            </w:pPr>
            <w:r w:rsidRPr="00BD3D59">
              <w:rPr>
                <w:sz w:val="24"/>
                <w:szCs w:val="24"/>
              </w:rPr>
              <w:t>Implementation of a support program for students at-risk of falling behind in numeracy.</w:t>
            </w:r>
            <w:r w:rsidR="00ED60AB" w:rsidRPr="00BD3D59">
              <w:rPr>
                <w:sz w:val="24"/>
                <w:szCs w:val="24"/>
              </w:rPr>
              <w:t xml:space="preserve"> These students will be identified as those “well below” and “below’ in the baseline d</w:t>
            </w:r>
            <w:r w:rsidR="00857D32">
              <w:rPr>
                <w:sz w:val="24"/>
                <w:szCs w:val="24"/>
              </w:rPr>
              <w:t>ata collection for numeracy in M</w:t>
            </w:r>
            <w:r w:rsidR="00ED60AB" w:rsidRPr="00BD3D59">
              <w:rPr>
                <w:sz w:val="24"/>
                <w:szCs w:val="24"/>
              </w:rPr>
              <w:t>ay 2014. Teachers (specialist staff) will be released f</w:t>
            </w:r>
            <w:r w:rsidR="00BD3D59" w:rsidRPr="00BD3D59">
              <w:rPr>
                <w:sz w:val="24"/>
                <w:szCs w:val="24"/>
              </w:rPr>
              <w:t>or additional training in the “C</w:t>
            </w:r>
            <w:r w:rsidR="00ED60AB" w:rsidRPr="00BD3D59">
              <w:rPr>
                <w:sz w:val="24"/>
                <w:szCs w:val="24"/>
              </w:rPr>
              <w:t>ounting-On” program. These staff members will provide the targeted and intensive intervention for identified students.</w:t>
            </w:r>
          </w:p>
          <w:p w:rsidR="00E8564D" w:rsidRPr="00BD3D59" w:rsidRDefault="00E8564D" w:rsidP="00B66721">
            <w:pPr>
              <w:rPr>
                <w:rFonts w:ascii="Arial" w:hAnsi="Arial" w:cs="Arial"/>
                <w:sz w:val="24"/>
                <w:szCs w:val="24"/>
              </w:rPr>
            </w:pPr>
          </w:p>
          <w:p w:rsidR="00BD3D59" w:rsidRPr="00BD3D59" w:rsidRDefault="00E8564D" w:rsidP="00B66721">
            <w:pPr>
              <w:rPr>
                <w:rFonts w:ascii="Arial" w:hAnsi="Arial" w:cs="Arial"/>
                <w:sz w:val="24"/>
                <w:szCs w:val="24"/>
                <w:u w:val="single"/>
              </w:rPr>
            </w:pPr>
            <w:r w:rsidRPr="00BD3D59">
              <w:rPr>
                <w:rFonts w:ascii="Arial" w:hAnsi="Arial" w:cs="Arial"/>
                <w:sz w:val="24"/>
                <w:szCs w:val="24"/>
                <w:u w:val="single"/>
              </w:rPr>
              <w:t xml:space="preserve">Indicators: </w:t>
            </w:r>
          </w:p>
          <w:p w:rsidR="00BD3D59" w:rsidRDefault="00BD3D59" w:rsidP="00B66721">
            <w:pPr>
              <w:pStyle w:val="RRBodyText"/>
              <w:numPr>
                <w:ilvl w:val="0"/>
                <w:numId w:val="1"/>
              </w:numPr>
              <w:spacing w:before="0" w:after="80"/>
              <w:jc w:val="left"/>
              <w:rPr>
                <w:sz w:val="24"/>
                <w:szCs w:val="24"/>
              </w:rPr>
            </w:pPr>
            <w:r w:rsidRPr="00BD3D59">
              <w:rPr>
                <w:sz w:val="24"/>
                <w:szCs w:val="24"/>
              </w:rPr>
              <w:t xml:space="preserve">All students in target group mapped against Numeracy Continuum, progress reviewed each term. </w:t>
            </w:r>
          </w:p>
          <w:p w:rsidR="00B66721" w:rsidRDefault="00B66721" w:rsidP="00B66721">
            <w:pPr>
              <w:pStyle w:val="RRBodyText"/>
              <w:numPr>
                <w:ilvl w:val="0"/>
                <w:numId w:val="1"/>
              </w:numPr>
              <w:spacing w:before="0" w:after="80"/>
              <w:jc w:val="left"/>
              <w:rPr>
                <w:sz w:val="24"/>
                <w:szCs w:val="24"/>
              </w:rPr>
            </w:pPr>
            <w:r w:rsidRPr="00BD3D59">
              <w:rPr>
                <w:sz w:val="24"/>
                <w:szCs w:val="24"/>
              </w:rPr>
              <w:t>All KLA programs have numeracy teaching and learning strategies and evidence of numeracy elements in assessment tasks e.g. focus on numeracy in assessments</w:t>
            </w:r>
          </w:p>
          <w:p w:rsidR="00B66721" w:rsidRPr="00BD3D59" w:rsidRDefault="00B66721" w:rsidP="00B66721">
            <w:pPr>
              <w:pStyle w:val="RRBodyText"/>
              <w:numPr>
                <w:ilvl w:val="0"/>
                <w:numId w:val="1"/>
              </w:numPr>
              <w:spacing w:before="0" w:after="80"/>
              <w:jc w:val="left"/>
              <w:rPr>
                <w:sz w:val="24"/>
                <w:szCs w:val="24"/>
              </w:rPr>
            </w:pPr>
            <w:r w:rsidRPr="00BD3D59">
              <w:rPr>
                <w:sz w:val="24"/>
                <w:szCs w:val="24"/>
              </w:rPr>
              <w:t>Change in classroom practice, professional learning and professional dialogue</w:t>
            </w:r>
            <w:r w:rsidR="00784833" w:rsidRPr="00BD3D59">
              <w:rPr>
                <w:sz w:val="24"/>
                <w:szCs w:val="24"/>
              </w:rPr>
              <w:t>.</w:t>
            </w:r>
          </w:p>
          <w:p w:rsidR="00B66721" w:rsidRDefault="00B66721" w:rsidP="00B66721"/>
          <w:p w:rsidR="009D090B" w:rsidRPr="0014161D" w:rsidRDefault="00F96485" w:rsidP="0015107A">
            <w:pPr>
              <w:pStyle w:val="BodyText3"/>
              <w:tabs>
                <w:tab w:val="center" w:pos="4320"/>
                <w:tab w:val="right" w:pos="8640"/>
              </w:tabs>
              <w:spacing w:after="120"/>
              <w:jc w:val="both"/>
              <w:rPr>
                <w:rFonts w:ascii="Arial" w:hAnsi="Arial" w:cs="Arial"/>
                <w:sz w:val="24"/>
                <w:szCs w:val="24"/>
              </w:rPr>
            </w:pPr>
            <w:r>
              <w:rPr>
                <w:rFonts w:ascii="Arial" w:hAnsi="Arial" w:cs="Arial"/>
                <w:sz w:val="24"/>
                <w:szCs w:val="24"/>
              </w:rPr>
              <w:t>The school has revised its School Plan in line with the revised actions and additional resources for numeracy.</w:t>
            </w:r>
          </w:p>
        </w:tc>
      </w:tr>
    </w:tbl>
    <w:p w:rsidR="00785749" w:rsidRDefault="00785749"/>
    <w:sectPr w:rsidR="00785749" w:rsidSect="00847C2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75pt;height:104.25pt;visibility:visible" o:bullet="t">
        <v:imagedata r:id="rId1" o:title=""/>
      </v:shape>
    </w:pict>
  </w:numPicBullet>
  <w:abstractNum w:abstractNumId="0">
    <w:nsid w:val="26DE5EEA"/>
    <w:multiLevelType w:val="hybridMultilevel"/>
    <w:tmpl w:val="EFB21390"/>
    <w:lvl w:ilvl="0" w:tplc="2962116C">
      <w:start w:val="1"/>
      <w:numFmt w:val="bullet"/>
      <w:lvlText w:val=""/>
      <w:lvlPicBulletId w:val="0"/>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E0B"/>
    <w:rsid w:val="00031FE2"/>
    <w:rsid w:val="0005090A"/>
    <w:rsid w:val="00054BC3"/>
    <w:rsid w:val="00061ACB"/>
    <w:rsid w:val="000A1669"/>
    <w:rsid w:val="001006A3"/>
    <w:rsid w:val="00137D12"/>
    <w:rsid w:val="0014161D"/>
    <w:rsid w:val="0015107A"/>
    <w:rsid w:val="001A0A59"/>
    <w:rsid w:val="001A22A0"/>
    <w:rsid w:val="001D0B73"/>
    <w:rsid w:val="001E7E2A"/>
    <w:rsid w:val="001F396F"/>
    <w:rsid w:val="00200E0B"/>
    <w:rsid w:val="00221244"/>
    <w:rsid w:val="002411DE"/>
    <w:rsid w:val="002E7E65"/>
    <w:rsid w:val="00317766"/>
    <w:rsid w:val="00323BAC"/>
    <w:rsid w:val="003C75F8"/>
    <w:rsid w:val="003D536D"/>
    <w:rsid w:val="00400387"/>
    <w:rsid w:val="004321A6"/>
    <w:rsid w:val="004618ED"/>
    <w:rsid w:val="004652D7"/>
    <w:rsid w:val="00493523"/>
    <w:rsid w:val="0050252C"/>
    <w:rsid w:val="00506B79"/>
    <w:rsid w:val="00507FB5"/>
    <w:rsid w:val="00552F5C"/>
    <w:rsid w:val="0055652F"/>
    <w:rsid w:val="00590A5C"/>
    <w:rsid w:val="005C3AF2"/>
    <w:rsid w:val="005D2583"/>
    <w:rsid w:val="006B1658"/>
    <w:rsid w:val="006C37DC"/>
    <w:rsid w:val="00714029"/>
    <w:rsid w:val="00743DF2"/>
    <w:rsid w:val="00784833"/>
    <w:rsid w:val="00785749"/>
    <w:rsid w:val="007C595F"/>
    <w:rsid w:val="007C7D63"/>
    <w:rsid w:val="007D159F"/>
    <w:rsid w:val="007D6E65"/>
    <w:rsid w:val="007E7F26"/>
    <w:rsid w:val="00847C29"/>
    <w:rsid w:val="00857D32"/>
    <w:rsid w:val="00875B9A"/>
    <w:rsid w:val="009A4ACA"/>
    <w:rsid w:val="009A595D"/>
    <w:rsid w:val="009D090B"/>
    <w:rsid w:val="009D2A85"/>
    <w:rsid w:val="00A11EB9"/>
    <w:rsid w:val="00A57660"/>
    <w:rsid w:val="00B260A5"/>
    <w:rsid w:val="00B51DAA"/>
    <w:rsid w:val="00B66721"/>
    <w:rsid w:val="00B77B6F"/>
    <w:rsid w:val="00BD3D59"/>
    <w:rsid w:val="00C5534E"/>
    <w:rsid w:val="00CA7B30"/>
    <w:rsid w:val="00CF00E6"/>
    <w:rsid w:val="00D434FE"/>
    <w:rsid w:val="00E71312"/>
    <w:rsid w:val="00E8564D"/>
    <w:rsid w:val="00ED60AB"/>
    <w:rsid w:val="00F96485"/>
    <w:rsid w:val="00FD4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E0B"/>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847C29"/>
    <w:pPr>
      <w:keepNext/>
      <w:tabs>
        <w:tab w:val="left" w:pos="90"/>
      </w:tabs>
      <w:jc w:val="center"/>
      <w:outlineLvl w:val="5"/>
    </w:pPr>
    <w:rPr>
      <w:b/>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RBodyText">
    <w:name w:val="RR Body Text"/>
    <w:basedOn w:val="Normal"/>
    <w:rsid w:val="00200E0B"/>
    <w:pPr>
      <w:spacing w:before="120" w:line="240" w:lineRule="atLeast"/>
      <w:jc w:val="both"/>
    </w:pPr>
    <w:rPr>
      <w:rFonts w:ascii="Arial" w:hAnsi="Arial" w:cs="Arial"/>
      <w:bCs/>
      <w:sz w:val="22"/>
    </w:rPr>
  </w:style>
  <w:style w:type="paragraph" w:styleId="BodyText3">
    <w:name w:val="Body Text 3"/>
    <w:basedOn w:val="Normal"/>
    <w:link w:val="BodyText3Char"/>
    <w:rsid w:val="0015107A"/>
    <w:rPr>
      <w:sz w:val="28"/>
    </w:rPr>
  </w:style>
  <w:style w:type="character" w:customStyle="1" w:styleId="BodyText3Char">
    <w:name w:val="Body Text 3 Char"/>
    <w:basedOn w:val="DefaultParagraphFont"/>
    <w:link w:val="BodyText3"/>
    <w:rsid w:val="0015107A"/>
    <w:rPr>
      <w:rFonts w:ascii="Times New Roman" w:eastAsia="Times New Roman" w:hAnsi="Times New Roman" w:cs="Times New Roman"/>
      <w:sz w:val="28"/>
      <w:szCs w:val="20"/>
    </w:rPr>
  </w:style>
  <w:style w:type="paragraph" w:styleId="ListParagraph">
    <w:name w:val="List Paragraph"/>
    <w:basedOn w:val="Normal"/>
    <w:uiPriority w:val="34"/>
    <w:qFormat/>
    <w:rsid w:val="0015107A"/>
    <w:pPr>
      <w:ind w:left="720"/>
      <w:contextualSpacing/>
    </w:pPr>
  </w:style>
  <w:style w:type="table" w:styleId="TableGrid">
    <w:name w:val="Table Grid"/>
    <w:basedOn w:val="TableNormal"/>
    <w:uiPriority w:val="59"/>
    <w:rsid w:val="00847C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rsid w:val="00847C29"/>
    <w:rPr>
      <w:rFonts w:ascii="Arial" w:hAnsi="Arial"/>
      <w:sz w:val="28"/>
    </w:rPr>
  </w:style>
  <w:style w:type="character" w:customStyle="1" w:styleId="BodyText2Char">
    <w:name w:val="Body Text 2 Char"/>
    <w:basedOn w:val="DefaultParagraphFont"/>
    <w:link w:val="BodyText2"/>
    <w:rsid w:val="00847C29"/>
    <w:rPr>
      <w:rFonts w:ascii="Arial" w:eastAsia="Times New Roman" w:hAnsi="Arial" w:cs="Times New Roman"/>
      <w:sz w:val="28"/>
      <w:szCs w:val="20"/>
    </w:rPr>
  </w:style>
  <w:style w:type="paragraph" w:styleId="BalloonText">
    <w:name w:val="Balloon Text"/>
    <w:basedOn w:val="Normal"/>
    <w:link w:val="BalloonTextChar"/>
    <w:uiPriority w:val="99"/>
    <w:semiHidden/>
    <w:unhideWhenUsed/>
    <w:rsid w:val="00847C29"/>
    <w:rPr>
      <w:rFonts w:ascii="Tahoma" w:hAnsi="Tahoma" w:cs="Tahoma"/>
      <w:sz w:val="16"/>
      <w:szCs w:val="16"/>
    </w:rPr>
  </w:style>
  <w:style w:type="character" w:customStyle="1" w:styleId="BalloonTextChar">
    <w:name w:val="Balloon Text Char"/>
    <w:basedOn w:val="DefaultParagraphFont"/>
    <w:link w:val="BalloonText"/>
    <w:uiPriority w:val="99"/>
    <w:semiHidden/>
    <w:rsid w:val="00847C29"/>
    <w:rPr>
      <w:rFonts w:ascii="Tahoma" w:eastAsia="Times New Roman" w:hAnsi="Tahoma" w:cs="Tahoma"/>
      <w:sz w:val="16"/>
      <w:szCs w:val="16"/>
    </w:rPr>
  </w:style>
  <w:style w:type="character" w:customStyle="1" w:styleId="Heading6Char">
    <w:name w:val="Heading 6 Char"/>
    <w:basedOn w:val="DefaultParagraphFont"/>
    <w:link w:val="Heading6"/>
    <w:rsid w:val="00847C29"/>
    <w:rPr>
      <w:rFonts w:ascii="Times New Roman" w:eastAsia="Times New Roman" w:hAnsi="Times New Roman" w:cs="Times New Roman"/>
      <w:b/>
      <w:sz w:val="72"/>
      <w:szCs w:val="20"/>
    </w:rPr>
  </w:style>
  <w:style w:type="paragraph" w:styleId="Footer">
    <w:name w:val="footer"/>
    <w:basedOn w:val="Normal"/>
    <w:link w:val="FooterChar"/>
    <w:rsid w:val="00847C29"/>
    <w:pPr>
      <w:tabs>
        <w:tab w:val="center" w:pos="4320"/>
        <w:tab w:val="right" w:pos="8640"/>
      </w:tabs>
    </w:pPr>
  </w:style>
  <w:style w:type="character" w:customStyle="1" w:styleId="FooterChar">
    <w:name w:val="Footer Char"/>
    <w:basedOn w:val="DefaultParagraphFont"/>
    <w:link w:val="Footer"/>
    <w:rsid w:val="00847C29"/>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E0B"/>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847C29"/>
    <w:pPr>
      <w:keepNext/>
      <w:tabs>
        <w:tab w:val="left" w:pos="90"/>
      </w:tabs>
      <w:jc w:val="center"/>
      <w:outlineLvl w:val="5"/>
    </w:pPr>
    <w:rPr>
      <w:b/>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RBodyText">
    <w:name w:val="RR Body Text"/>
    <w:basedOn w:val="Normal"/>
    <w:rsid w:val="00200E0B"/>
    <w:pPr>
      <w:spacing w:before="120" w:line="240" w:lineRule="atLeast"/>
      <w:jc w:val="both"/>
    </w:pPr>
    <w:rPr>
      <w:rFonts w:ascii="Arial" w:hAnsi="Arial" w:cs="Arial"/>
      <w:bCs/>
      <w:sz w:val="22"/>
    </w:rPr>
  </w:style>
  <w:style w:type="paragraph" w:styleId="BodyText3">
    <w:name w:val="Body Text 3"/>
    <w:basedOn w:val="Normal"/>
    <w:link w:val="BodyText3Char"/>
    <w:rsid w:val="0015107A"/>
    <w:rPr>
      <w:sz w:val="28"/>
    </w:rPr>
  </w:style>
  <w:style w:type="character" w:customStyle="1" w:styleId="BodyText3Char">
    <w:name w:val="Body Text 3 Char"/>
    <w:basedOn w:val="DefaultParagraphFont"/>
    <w:link w:val="BodyText3"/>
    <w:rsid w:val="0015107A"/>
    <w:rPr>
      <w:rFonts w:ascii="Times New Roman" w:eastAsia="Times New Roman" w:hAnsi="Times New Roman" w:cs="Times New Roman"/>
      <w:sz w:val="28"/>
      <w:szCs w:val="20"/>
    </w:rPr>
  </w:style>
  <w:style w:type="paragraph" w:styleId="ListParagraph">
    <w:name w:val="List Paragraph"/>
    <w:basedOn w:val="Normal"/>
    <w:uiPriority w:val="34"/>
    <w:qFormat/>
    <w:rsid w:val="0015107A"/>
    <w:pPr>
      <w:ind w:left="720"/>
      <w:contextualSpacing/>
    </w:pPr>
  </w:style>
  <w:style w:type="table" w:styleId="TableGrid">
    <w:name w:val="Table Grid"/>
    <w:basedOn w:val="TableNormal"/>
    <w:uiPriority w:val="59"/>
    <w:rsid w:val="00847C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rsid w:val="00847C29"/>
    <w:rPr>
      <w:rFonts w:ascii="Arial" w:hAnsi="Arial"/>
      <w:sz w:val="28"/>
    </w:rPr>
  </w:style>
  <w:style w:type="character" w:customStyle="1" w:styleId="BodyText2Char">
    <w:name w:val="Body Text 2 Char"/>
    <w:basedOn w:val="DefaultParagraphFont"/>
    <w:link w:val="BodyText2"/>
    <w:rsid w:val="00847C29"/>
    <w:rPr>
      <w:rFonts w:ascii="Arial" w:eastAsia="Times New Roman" w:hAnsi="Arial" w:cs="Times New Roman"/>
      <w:sz w:val="28"/>
      <w:szCs w:val="20"/>
    </w:rPr>
  </w:style>
  <w:style w:type="paragraph" w:styleId="BalloonText">
    <w:name w:val="Balloon Text"/>
    <w:basedOn w:val="Normal"/>
    <w:link w:val="BalloonTextChar"/>
    <w:uiPriority w:val="99"/>
    <w:semiHidden/>
    <w:unhideWhenUsed/>
    <w:rsid w:val="00847C29"/>
    <w:rPr>
      <w:rFonts w:ascii="Tahoma" w:hAnsi="Tahoma" w:cs="Tahoma"/>
      <w:sz w:val="16"/>
      <w:szCs w:val="16"/>
    </w:rPr>
  </w:style>
  <w:style w:type="character" w:customStyle="1" w:styleId="BalloonTextChar">
    <w:name w:val="Balloon Text Char"/>
    <w:basedOn w:val="DefaultParagraphFont"/>
    <w:link w:val="BalloonText"/>
    <w:uiPriority w:val="99"/>
    <w:semiHidden/>
    <w:rsid w:val="00847C29"/>
    <w:rPr>
      <w:rFonts w:ascii="Tahoma" w:eastAsia="Times New Roman" w:hAnsi="Tahoma" w:cs="Tahoma"/>
      <w:sz w:val="16"/>
      <w:szCs w:val="16"/>
    </w:rPr>
  </w:style>
  <w:style w:type="character" w:customStyle="1" w:styleId="Heading6Char">
    <w:name w:val="Heading 6 Char"/>
    <w:basedOn w:val="DefaultParagraphFont"/>
    <w:link w:val="Heading6"/>
    <w:rsid w:val="00847C29"/>
    <w:rPr>
      <w:rFonts w:ascii="Times New Roman" w:eastAsia="Times New Roman" w:hAnsi="Times New Roman" w:cs="Times New Roman"/>
      <w:b/>
      <w:sz w:val="72"/>
      <w:szCs w:val="20"/>
    </w:rPr>
  </w:style>
  <w:style w:type="paragraph" w:styleId="Footer">
    <w:name w:val="footer"/>
    <w:basedOn w:val="Normal"/>
    <w:link w:val="FooterChar"/>
    <w:rsid w:val="00847C29"/>
    <w:pPr>
      <w:tabs>
        <w:tab w:val="center" w:pos="4320"/>
        <w:tab w:val="right" w:pos="8640"/>
      </w:tabs>
    </w:pPr>
  </w:style>
  <w:style w:type="character" w:customStyle="1" w:styleId="FooterChar">
    <w:name w:val="Footer Char"/>
    <w:basedOn w:val="DefaultParagraphFont"/>
    <w:link w:val="Footer"/>
    <w:rsid w:val="00847C2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64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Teacher</cp:lastModifiedBy>
  <cp:revision>2</cp:revision>
  <cp:lastPrinted>2013-09-12T02:09:00Z</cp:lastPrinted>
  <dcterms:created xsi:type="dcterms:W3CDTF">2013-11-21T21:23:00Z</dcterms:created>
  <dcterms:modified xsi:type="dcterms:W3CDTF">2013-11-21T21:23:00Z</dcterms:modified>
</cp:coreProperties>
</file>